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napToGrid w:val="0"/>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2023年科创实践类智能机器人-编程飞行器</w:t>
      </w:r>
    </w:p>
    <w:p>
      <w:pPr>
        <w:snapToGrid w:val="0"/>
        <w:spacing w:line="360" w:lineRule="auto"/>
        <w:jc w:val="center"/>
        <w:rPr>
          <w:rFonts w:hint="eastAsia" w:ascii="宋体" w:hAnsi="宋体" w:eastAsia="宋体" w:cs="宋体"/>
          <w:b/>
          <w:sz w:val="28"/>
          <w:szCs w:val="28"/>
        </w:rPr>
      </w:pPr>
      <w:r>
        <w:rPr>
          <w:rFonts w:hint="eastAsia" w:ascii="宋体" w:hAnsi="宋体" w:eastAsia="宋体" w:cs="宋体"/>
          <w:b/>
          <w:color w:val="000000"/>
          <w:sz w:val="32"/>
          <w:szCs w:val="32"/>
        </w:rPr>
        <w:t>B2陆空智能协同 任务说明书</w:t>
      </w:r>
    </w:p>
    <w:p>
      <w:pPr>
        <w:numPr>
          <w:ilvl w:val="0"/>
          <w:numId w:val="0"/>
        </w:numPr>
        <w:snapToGrid w:val="0"/>
        <w:spacing w:line="360" w:lineRule="auto"/>
        <w:jc w:val="left"/>
        <w:rPr>
          <w:rFonts w:ascii="仿宋_GB2312" w:hAnsi="仿宋_GB2312" w:eastAsia="仿宋_GB2312" w:cs="仿宋_GB2312"/>
          <w:b/>
          <w:color w:val="000000"/>
          <w:sz w:val="28"/>
          <w:szCs w:val="28"/>
        </w:rPr>
      </w:pPr>
    </w:p>
    <w:p>
      <w:pPr>
        <w:numPr>
          <w:ilvl w:val="0"/>
          <w:numId w:val="1"/>
        </w:numPr>
        <w:snapToGrid w:val="0"/>
        <w:spacing w:line="360" w:lineRule="auto"/>
        <w:ind w:firstLine="562" w:firstLineChars="200"/>
        <w:jc w:val="left"/>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活动主题 </w:t>
      </w:r>
    </w:p>
    <w:p>
      <w:pPr>
        <w:snapToGrid w:val="0"/>
        <w:spacing w:line="360" w:lineRule="auto"/>
        <w:ind w:firstLine="56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陆空智能协同活动让</w:t>
      </w:r>
      <w:r>
        <w:rPr>
          <w:rFonts w:hint="eastAsia" w:ascii="仿宋_GB2312" w:hAnsi="仿宋_GB2312" w:eastAsia="仿宋_GB2312" w:cs="仿宋_GB2312"/>
          <w:bCs/>
          <w:sz w:val="28"/>
          <w:szCs w:val="28"/>
          <w:lang w:val="en-US" w:eastAsia="zh-CN"/>
        </w:rPr>
        <w:t>同学</w:t>
      </w:r>
      <w:r>
        <w:rPr>
          <w:rFonts w:hint="eastAsia" w:ascii="仿宋_GB2312" w:hAnsi="仿宋_GB2312" w:eastAsia="仿宋_GB2312" w:cs="仿宋_GB2312"/>
          <w:bCs/>
          <w:sz w:val="28"/>
          <w:szCs w:val="28"/>
        </w:rPr>
        <w:t>使用</w:t>
      </w:r>
      <w:r>
        <w:rPr>
          <w:rFonts w:hint="eastAsia" w:ascii="仿宋_GB2312" w:hAnsi="仿宋_GB2312" w:eastAsia="仿宋_GB2312" w:cs="仿宋_GB2312"/>
          <w:bCs/>
          <w:sz w:val="28"/>
          <w:szCs w:val="28"/>
          <w:lang w:val="en-US" w:eastAsia="zh-CN"/>
        </w:rPr>
        <w:t>轮式机器人和</w:t>
      </w:r>
      <w:r>
        <w:rPr>
          <w:rFonts w:hint="eastAsia" w:ascii="仿宋_GB2312" w:hAnsi="仿宋_GB2312" w:eastAsia="仿宋_GB2312" w:cs="仿宋_GB2312"/>
          <w:bCs/>
          <w:sz w:val="28"/>
          <w:szCs w:val="28"/>
        </w:rPr>
        <w:t>飞行机器人，通过自主编程，利用人工智能、数学、物理等相关知识，进行陆空协同任务挑战。</w:t>
      </w:r>
    </w:p>
    <w:p>
      <w:pPr>
        <w:snapToGrid w:val="0"/>
        <w:spacing w:line="360" w:lineRule="auto"/>
        <w:ind w:firstLine="560"/>
        <w:jc w:val="lef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在活动中，考验同学们人工智能的相关知识应用以及协商合作能力，在实践中学习，在操作中得到真知。</w:t>
      </w:r>
    </w:p>
    <w:p>
      <w:pPr>
        <w:numPr>
          <w:ilvl w:val="0"/>
          <w:numId w:val="1"/>
        </w:numPr>
        <w:snapToGrid w:val="0"/>
        <w:spacing w:line="360" w:lineRule="auto"/>
        <w:ind w:firstLine="562" w:firstLineChars="200"/>
        <w:jc w:val="left"/>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活动对象</w:t>
      </w:r>
    </w:p>
    <w:p>
      <w:pPr>
        <w:snapToGrid w:val="0"/>
        <w:spacing w:line="360" w:lineRule="auto"/>
        <w:ind w:firstLine="280" w:firstLineChars="10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（一）参赛人数：每队由2名学生</w:t>
      </w:r>
    </w:p>
    <w:p>
      <w:pPr>
        <w:snapToGrid w:val="0"/>
        <w:spacing w:line="360" w:lineRule="auto"/>
        <w:ind w:firstLine="280" w:firstLineChars="10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（二）指导教师：每队报1名指导教师</w:t>
      </w:r>
    </w:p>
    <w:p>
      <w:pPr>
        <w:snapToGrid w:val="0"/>
        <w:spacing w:line="360" w:lineRule="auto"/>
        <w:ind w:firstLine="280" w:firstLineChars="100"/>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（三）参赛级别：小学、初中和高中（中职）</w:t>
      </w:r>
    </w:p>
    <w:p>
      <w:pPr>
        <w:snapToGrid w:val="0"/>
        <w:spacing w:line="360" w:lineRule="auto"/>
        <w:ind w:firstLine="562" w:firstLineChars="200"/>
        <w:jc w:val="left"/>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三、活动形式</w:t>
      </w:r>
    </w:p>
    <w:p>
      <w:pPr>
        <w:snapToGrid w:val="0"/>
        <w:spacing w:line="360" w:lineRule="auto"/>
        <w:ind w:firstLine="560" w:firstLineChars="200"/>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活动分为线上提交资料和现场活动展示两部分。其中线上提交资料的报名队伍须在规定时间内按要求提交视频作品及工程笔记等文件资料到活动组委会，组委会将按照报名时公布的评选标准进行评选，达到评选标准的队伍将获得现场活动资格名额；</w:t>
      </w:r>
    </w:p>
    <w:p>
      <w:pPr>
        <w:snapToGrid w:val="0"/>
        <w:spacing w:line="360" w:lineRule="auto"/>
        <w:ind w:firstLine="560" w:firstLineChars="200"/>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轮式机器人和飞行机器人在规定的时间内协同完成多项任务，每个任务都有对应的分数，完成的任务越多、用时越少，得分越高。</w:t>
      </w:r>
    </w:p>
    <w:p>
      <w:pPr>
        <w:snapToGrid w:val="0"/>
        <w:spacing w:line="360" w:lineRule="auto"/>
        <w:ind w:firstLine="562" w:firstLineChars="200"/>
        <w:jc w:val="left"/>
        <w:rPr>
          <w:rFonts w:ascii="仿宋_GB2312" w:hAnsi="仿宋_GB2312" w:eastAsia="仿宋_GB2312" w:cs="仿宋_GB2312"/>
          <w:b/>
          <w:sz w:val="28"/>
          <w:szCs w:val="28"/>
        </w:rPr>
      </w:pPr>
      <w:r>
        <w:rPr>
          <w:rFonts w:hint="eastAsia" w:ascii="仿宋_GB2312" w:hAnsi="仿宋_GB2312" w:eastAsia="仿宋_GB2312" w:cs="仿宋_GB2312"/>
          <w:b/>
          <w:color w:val="000000"/>
          <w:sz w:val="28"/>
          <w:szCs w:val="28"/>
        </w:rPr>
        <w:t>四、机器人技术要求</w:t>
      </w:r>
    </w:p>
    <w:p>
      <w:pPr>
        <w:snapToGrid w:val="0"/>
        <w:spacing w:line="360" w:lineRule="auto"/>
        <w:ind w:firstLine="840" w:firstLineChars="300"/>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参赛设备由一台轮式机器人和一架飞行机器人组成。</w:t>
      </w:r>
    </w:p>
    <w:p>
      <w:pPr>
        <w:snapToGrid w:val="0"/>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（一）选手利用成品飞行机器人和轮式机器人适当加以改造或者自行设计制作，能够使用诸如图像识别、UWB或其他各种技术手段来实现精准定位；</w:t>
      </w:r>
    </w:p>
    <w:p>
      <w:pPr>
        <w:snapToGrid w:val="0"/>
        <w:spacing w:line="360" w:lineRule="auto"/>
        <w:ind w:firstLine="560" w:firstLineChars="200"/>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（二）选手需使用国产图形化编程软件、Python语言或C语言等对飞行机器人和轮式机器人进行程序编写。学生须独立编写程序，让设备按程序完全自主运行；</w:t>
      </w:r>
    </w:p>
    <w:p>
      <w:pPr>
        <w:snapToGrid w:val="0"/>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（三）选手除了启动机器人时可以使用遥控器以外，自离开出发区后到活动结束不允许使用遥控器去控制和引导机器人的运行；</w:t>
      </w:r>
    </w:p>
    <w:p>
      <w:pPr>
        <w:snapToGrid w:val="0"/>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（四）飞行机器人和轮式机器人技术规范</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40"/>
        <w:gridCol w:w="4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935" w:type="dxa"/>
            <w:gridSpan w:val="2"/>
            <w:tcBorders>
              <w:top w:val="single" w:color="000000" w:sz="6" w:space="0"/>
              <w:left w:val="single" w:color="000000" w:sz="6" w:space="0"/>
              <w:bottom w:val="single" w:color="000000" w:sz="6" w:space="0"/>
              <w:right w:val="single" w:color="000000" w:sz="6" w:space="0"/>
            </w:tcBorders>
            <w:shd w:val="clear" w:color="auto" w:fill="auto"/>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bookmarkStart w:id="0" w:name="_GoBack"/>
            <w:bookmarkEnd w:id="0"/>
            <w:r>
              <w:rPr>
                <w:rFonts w:hint="eastAsia" w:ascii="仿宋_GB2312" w:hAnsi="仿宋_GB2312" w:eastAsia="仿宋_GB2312" w:cs="仿宋_GB2312"/>
                <w:b/>
                <w:color w:val="000000"/>
                <w:szCs w:val="21"/>
              </w:rPr>
              <w:t>飞行机器人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项目</w:t>
            </w:r>
          </w:p>
        </w:tc>
        <w:tc>
          <w:tcPr>
            <w:tcW w:w="40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空心杯电机数量（个）</w:t>
            </w:r>
          </w:p>
        </w:tc>
        <w:tc>
          <w:tcPr>
            <w:tcW w:w="40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相邻电机轴距（毫米）</w:t>
            </w:r>
          </w:p>
        </w:tc>
        <w:tc>
          <w:tcPr>
            <w:tcW w:w="40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100—180之间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整机重量（克）</w:t>
            </w:r>
          </w:p>
        </w:tc>
        <w:tc>
          <w:tcPr>
            <w:tcW w:w="40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供电电压（伏特）</w:t>
            </w:r>
          </w:p>
        </w:tc>
        <w:tc>
          <w:tcPr>
            <w:tcW w:w="40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935"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b/>
                <w:color w:val="000000"/>
                <w:szCs w:val="21"/>
              </w:rPr>
              <w:t>轮式机器人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主体尺寸（毫米，长*宽*高）</w:t>
            </w:r>
          </w:p>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（离开出发区后可自行展开尺寸）</w:t>
            </w:r>
          </w:p>
        </w:tc>
        <w:tc>
          <w:tcPr>
            <w:tcW w:w="40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≤300*250*300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停机坪尺寸（毫米，长*宽*高）</w:t>
            </w:r>
          </w:p>
        </w:tc>
        <w:tc>
          <w:tcPr>
            <w:tcW w:w="40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≤350*350*350（离地面高度）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供电电压（伏特）</w:t>
            </w:r>
          </w:p>
        </w:tc>
        <w:tc>
          <w:tcPr>
            <w:tcW w:w="40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≤9V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935"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机器人需自带或可拓展的视觉传感器</w:t>
            </w:r>
          </w:p>
        </w:tc>
      </w:tr>
    </w:tbl>
    <w:p>
      <w:pPr>
        <w:snapToGrid w:val="0"/>
        <w:spacing w:line="360" w:lineRule="auto"/>
        <w:ind w:firstLine="562" w:firstLineChars="200"/>
        <w:jc w:val="left"/>
        <w:rPr>
          <w:rFonts w:ascii="仿宋_GB2312" w:hAnsi="仿宋_GB2312" w:eastAsia="仿宋_GB2312" w:cs="仿宋_GB2312"/>
          <w:b/>
          <w:color w:val="000000"/>
          <w:sz w:val="28"/>
          <w:szCs w:val="28"/>
        </w:rPr>
      </w:pPr>
    </w:p>
    <w:p>
      <w:pPr>
        <w:snapToGrid w:val="0"/>
        <w:spacing w:line="360" w:lineRule="auto"/>
        <w:ind w:firstLine="562" w:firstLineChars="200"/>
        <w:jc w:val="left"/>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五、活动场地</w:t>
      </w:r>
    </w:p>
    <w:p>
      <w:pPr>
        <w:snapToGrid w:val="0"/>
        <w:spacing w:line="360" w:lineRule="auto"/>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sz w:val="28"/>
          <w:szCs w:val="28"/>
        </w:rPr>
        <w:t>（一）活动场地尺寸</w:t>
      </w:r>
    </w:p>
    <w:p>
      <w:pPr>
        <w:snapToGrid w:val="0"/>
        <w:spacing w:line="360" w:lineRule="auto"/>
        <w:ind w:firstLine="560" w:firstLineChars="200"/>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活动场地为长4.1米，宽3.1米的长方形，场地图中双黄色线间距宽30厘米（正负1厘米），设有A、B、C、D、E、F、H等任务区域，黑色巡线线宽4厘米（正负0.3厘米）。1号、二号基地为30*30厘米正方形，场地如图1所示：</w:t>
      </w:r>
    </w:p>
    <w:p>
      <w:pPr>
        <w:snapToGrid w:val="0"/>
        <w:spacing w:line="360" w:lineRule="auto"/>
        <w:ind w:firstLine="315"/>
        <w:rPr>
          <w:rFonts w:ascii="仿宋_GB2312" w:hAnsi="仿宋_GB2312" w:eastAsia="仿宋_GB2312" w:cs="仿宋_GB2312"/>
          <w:sz w:val="28"/>
          <w:szCs w:val="28"/>
        </w:rPr>
      </w:pPr>
      <w:r>
        <w:rPr>
          <w:rFonts w:hint="eastAsia" w:ascii="仿宋_GB2312" w:hAnsi="仿宋_GB2312" w:eastAsia="仿宋_GB2312" w:cs="仿宋_GB2312"/>
          <w:sz w:val="28"/>
          <w:szCs w:val="28"/>
        </w:rPr>
        <w:drawing>
          <wp:inline distT="0" distB="0" distL="0" distR="0">
            <wp:extent cx="4632960" cy="3291840"/>
            <wp:effectExtent l="0" t="0" r="2540" b="10160"/>
            <wp:docPr id="2" name="picture" descr="descript"/>
            <wp:cNvGraphicFramePr/>
            <a:graphic xmlns:a="http://schemas.openxmlformats.org/drawingml/2006/main">
              <a:graphicData uri="http://schemas.openxmlformats.org/drawingml/2006/picture">
                <pic:pic xmlns:pic="http://schemas.openxmlformats.org/drawingml/2006/picture">
                  <pic:nvPicPr>
                    <pic:cNvPr id="2" name="picture" descr="descript"/>
                    <pic:cNvPicPr/>
                  </pic:nvPicPr>
                  <pic:blipFill>
                    <a:blip r:embed="rId4"/>
                    <a:srcRect/>
                    <a:stretch>
                      <a:fillRect/>
                    </a:stretch>
                  </pic:blipFill>
                  <pic:spPr>
                    <a:xfrm>
                      <a:off x="0" y="0"/>
                      <a:ext cx="4632960" cy="3291840"/>
                    </a:xfrm>
                    <a:prstGeom prst="rect">
                      <a:avLst/>
                    </a:prstGeom>
                  </pic:spPr>
                </pic:pic>
              </a:graphicData>
            </a:graphic>
          </wp:inline>
        </w:drawing>
      </w:r>
      <w:r>
        <w:rPr>
          <w:rFonts w:hint="eastAsia" w:ascii="仿宋_GB2312" w:hAnsi="仿宋_GB2312" w:eastAsia="仿宋_GB2312" w:cs="仿宋_GB2312"/>
          <w:color w:val="000000"/>
          <w:sz w:val="28"/>
          <w:szCs w:val="28"/>
        </w:rPr>
        <w:t> </w:t>
      </w:r>
    </w:p>
    <w:p>
      <w:pPr>
        <w:snapToGrid w:val="0"/>
        <w:spacing w:line="360" w:lineRule="auto"/>
        <w:ind w:firstLine="2985"/>
        <w:rPr>
          <w:rFonts w:ascii="仿宋_GB2312" w:hAnsi="仿宋_GB2312" w:eastAsia="仿宋_GB2312" w:cs="仿宋_GB2312"/>
          <w:szCs w:val="21"/>
        </w:rPr>
      </w:pPr>
      <w:r>
        <w:rPr>
          <w:rFonts w:hint="eastAsia" w:ascii="仿宋_GB2312" w:hAnsi="仿宋_GB2312" w:eastAsia="仿宋_GB2312" w:cs="仿宋_GB2312"/>
          <w:szCs w:val="21"/>
        </w:rPr>
        <w:t>图1 场地示意图</w:t>
      </w:r>
    </w:p>
    <w:p>
      <w:pPr>
        <w:snapToGrid w:val="0"/>
        <w:spacing w:line="360" w:lineRule="auto"/>
        <w:ind w:firstLine="560" w:firstLineChars="200"/>
        <w:rPr>
          <w:rFonts w:ascii="仿宋_GB2312" w:hAnsi="仿宋_GB2312" w:eastAsia="仿宋_GB2312" w:cs="仿宋_GB2312"/>
          <w:bCs/>
          <w:sz w:val="28"/>
          <w:szCs w:val="28"/>
        </w:rPr>
      </w:pPr>
      <w:r>
        <w:rPr>
          <w:rFonts w:hint="eastAsia" w:ascii="仿宋_GB2312" w:hAnsi="仿宋_GB2312" w:eastAsia="仿宋_GB2312" w:cs="仿宋_GB2312"/>
          <w:bCs/>
          <w:color w:val="000000"/>
          <w:sz w:val="28"/>
          <w:szCs w:val="28"/>
        </w:rPr>
        <w:t>（二）各任务模型规则及要求如下</w:t>
      </w:r>
    </w:p>
    <w:p>
      <w:pPr>
        <w:snapToGrid w:val="0"/>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 颜色识别装置与摆放位置</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2475"/>
        <w:gridCol w:w="3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rPr>
              <w:drawing>
                <wp:inline distT="0" distB="0" distL="0" distR="0">
                  <wp:extent cx="942975" cy="1256665"/>
                  <wp:effectExtent l="0" t="0" r="0" b="0"/>
                  <wp:docPr id="5" name="picture" descr="descript"/>
                  <wp:cNvGraphicFramePr/>
                  <a:graphic xmlns:a="http://schemas.openxmlformats.org/drawingml/2006/main">
                    <a:graphicData uri="http://schemas.openxmlformats.org/drawingml/2006/picture">
                      <pic:pic xmlns:pic="http://schemas.openxmlformats.org/drawingml/2006/picture">
                        <pic:nvPicPr>
                          <pic:cNvPr id="5" name="picture" descr="descript"/>
                          <pic:cNvPicPr/>
                        </pic:nvPicPr>
                        <pic:blipFill>
                          <a:blip r:embed="rId5"/>
                          <a:srcRect b="166"/>
                          <a:stretch>
                            <a:fillRect/>
                          </a:stretch>
                        </pic:blipFill>
                        <pic:spPr>
                          <a:xfrm>
                            <a:off x="0" y="0"/>
                            <a:ext cx="942975" cy="1257235"/>
                          </a:xfrm>
                          <a:prstGeom prst="rect">
                            <a:avLst/>
                          </a:prstGeom>
                        </pic:spPr>
                      </pic:pic>
                    </a:graphicData>
                  </a:graphic>
                </wp:inline>
              </w:drawing>
            </w:r>
          </w:p>
        </w:tc>
        <w:tc>
          <w:tcPr>
            <w:tcW w:w="247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 xml:space="preserve">     </w:t>
            </w:r>
            <w:r>
              <w:rPr>
                <w:rFonts w:hint="eastAsia" w:ascii="仿宋_GB2312" w:hAnsi="仿宋_GB2312" w:eastAsia="仿宋_GB2312" w:cs="仿宋_GB2312"/>
                <w:color w:val="000000"/>
                <w:szCs w:val="21"/>
              </w:rPr>
              <w:drawing>
                <wp:inline distT="0" distB="0" distL="0" distR="0">
                  <wp:extent cx="914400" cy="1218565"/>
                  <wp:effectExtent l="0" t="0" r="0" b="0"/>
                  <wp:docPr id="8" name="picture" descr="descript"/>
                  <wp:cNvGraphicFramePr/>
                  <a:graphic xmlns:a="http://schemas.openxmlformats.org/drawingml/2006/main">
                    <a:graphicData uri="http://schemas.openxmlformats.org/drawingml/2006/picture">
                      <pic:pic xmlns:pic="http://schemas.openxmlformats.org/drawingml/2006/picture">
                        <pic:nvPicPr>
                          <pic:cNvPr id="8" name="picture" descr="descript"/>
                          <pic:cNvPicPr/>
                        </pic:nvPicPr>
                        <pic:blipFill>
                          <a:blip r:embed="rId6"/>
                          <a:srcRect b="-290"/>
                          <a:stretch>
                            <a:fillRect/>
                          </a:stretch>
                        </pic:blipFill>
                        <pic:spPr>
                          <a:xfrm>
                            <a:off x="0" y="0"/>
                            <a:ext cx="914400" cy="1219013"/>
                          </a:xfrm>
                          <a:prstGeom prst="rect">
                            <a:avLst/>
                          </a:prstGeom>
                        </pic:spPr>
                      </pic:pic>
                    </a:graphicData>
                  </a:graphic>
                </wp:inline>
              </w:drawing>
            </w:r>
            <w:r>
              <w:rPr>
                <w:rFonts w:hint="eastAsia" w:ascii="仿宋_GB2312" w:hAnsi="仿宋_GB2312" w:eastAsia="仿宋_GB2312" w:cs="仿宋_GB2312"/>
                <w:color w:val="000000"/>
                <w:szCs w:val="21"/>
              </w:rPr>
              <w:t xml:space="preserve">  </w:t>
            </w:r>
          </w:p>
        </w:tc>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rPr>
              <w:drawing>
                <wp:inline distT="0" distB="0" distL="0" distR="0">
                  <wp:extent cx="1524000" cy="1077595"/>
                  <wp:effectExtent l="0" t="0" r="0" b="0"/>
                  <wp:docPr id="11" name="picture" descr="descript"/>
                  <wp:cNvGraphicFramePr/>
                  <a:graphic xmlns:a="http://schemas.openxmlformats.org/drawingml/2006/main">
                    <a:graphicData uri="http://schemas.openxmlformats.org/drawingml/2006/picture">
                      <pic:pic xmlns:pic="http://schemas.openxmlformats.org/drawingml/2006/picture">
                        <pic:nvPicPr>
                          <pic:cNvPr id="11" name="picture" descr="descript"/>
                          <pic:cNvPicPr/>
                        </pic:nvPicPr>
                        <pic:blipFill>
                          <a:blip r:embed="rId7"/>
                          <a:srcRect b="-483"/>
                          <a:stretch>
                            <a:fillRect/>
                          </a:stretch>
                        </pic:blipFill>
                        <pic:spPr>
                          <a:xfrm>
                            <a:off x="0" y="0"/>
                            <a:ext cx="1524000" cy="1078076"/>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初始状态</w:t>
            </w:r>
          </w:p>
        </w:tc>
        <w:tc>
          <w:tcPr>
            <w:tcW w:w="247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落入观察区状态</w:t>
            </w:r>
          </w:p>
        </w:tc>
        <w:tc>
          <w:tcPr>
            <w:tcW w:w="38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旋转器长宽高：57*40*40mm，两各平行面上贴同一种颜色，共4面。</w:t>
            </w:r>
          </w:p>
        </w:tc>
      </w:tr>
    </w:tbl>
    <w:p>
      <w:pPr>
        <w:numPr>
          <w:ilvl w:val="255"/>
          <w:numId w:val="0"/>
        </w:numPr>
        <w:snapToGrid w:val="0"/>
        <w:spacing w:line="360" w:lineRule="auto"/>
        <w:ind w:firstLine="560" w:firstLineChars="200"/>
        <w:rPr>
          <w:rFonts w:ascii="仿宋_GB2312" w:hAnsi="仿宋_GB2312" w:eastAsia="仿宋_GB2312" w:cs="仿宋_GB2312"/>
          <w:sz w:val="28"/>
          <w:szCs w:val="28"/>
        </w:rPr>
      </w:pPr>
      <w:r>
        <w:rPr>
          <w:rFonts w:ascii="仿宋_GB2312" w:hAnsi="仿宋_GB2312" w:eastAsia="仿宋_GB2312" w:cs="仿宋_GB2312"/>
          <w:color w:val="000000"/>
          <w:sz w:val="28"/>
          <w:szCs w:val="28"/>
        </w:rPr>
        <w:t>2.</w:t>
      </w:r>
      <w:r>
        <w:rPr>
          <w:rFonts w:hint="eastAsia" w:ascii="仿宋_GB2312" w:hAnsi="仿宋_GB2312" w:eastAsia="仿宋_GB2312" w:cs="仿宋_GB2312"/>
          <w:color w:val="000000"/>
          <w:sz w:val="28"/>
          <w:szCs w:val="28"/>
        </w:rPr>
        <w:t>清理障碍物任务模型</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5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trPr>
        <w:tc>
          <w:tcPr>
            <w:tcW w:w="28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rPr>
              <w:drawing>
                <wp:inline distT="0" distB="0" distL="0" distR="0">
                  <wp:extent cx="657225" cy="657225"/>
                  <wp:effectExtent l="0" t="0" r="0" b="0"/>
                  <wp:docPr id="14" name="picture" descr="descript"/>
                  <wp:cNvGraphicFramePr/>
                  <a:graphic xmlns:a="http://schemas.openxmlformats.org/drawingml/2006/main">
                    <a:graphicData uri="http://schemas.openxmlformats.org/drawingml/2006/picture">
                      <pic:pic xmlns:pic="http://schemas.openxmlformats.org/drawingml/2006/picture">
                        <pic:nvPicPr>
                          <pic:cNvPr id="14" name="picture" descr="descript"/>
                          <pic:cNvPicPr/>
                        </pic:nvPicPr>
                        <pic:blipFill>
                          <a:blip r:embed="rId8"/>
                          <a:srcRect/>
                          <a:stretch>
                            <a:fillRect/>
                          </a:stretch>
                        </pic:blipFill>
                        <pic:spPr>
                          <a:xfrm>
                            <a:off x="0" y="0"/>
                            <a:ext cx="657225" cy="657225"/>
                          </a:xfrm>
                          <a:prstGeom prst="rect">
                            <a:avLst/>
                          </a:prstGeom>
                        </pic:spPr>
                      </pic:pic>
                    </a:graphicData>
                  </a:graphic>
                </wp:inline>
              </w:drawing>
            </w:r>
          </w:p>
        </w:tc>
        <w:tc>
          <w:tcPr>
            <w:tcW w:w="573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物品一为六面立方体。</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尺寸：长*宽*高5cm （±0.2cm ），质量：≥15克</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材质、颜色不限，不得改变物品整体形状。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trPr>
        <w:tc>
          <w:tcPr>
            <w:tcW w:w="28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 xml:space="preserve">             </w:t>
            </w:r>
            <w:r>
              <w:rPr>
                <w:rFonts w:hint="eastAsia" w:ascii="仿宋_GB2312" w:hAnsi="仿宋_GB2312" w:eastAsia="仿宋_GB2312" w:cs="仿宋_GB2312"/>
                <w:szCs w:val="21"/>
              </w:rPr>
              <w:drawing>
                <wp:inline distT="0" distB="0" distL="0" distR="0">
                  <wp:extent cx="600075" cy="600075"/>
                  <wp:effectExtent l="0" t="0" r="0" b="0"/>
                  <wp:docPr id="17" name="picture" descr="descript"/>
                  <wp:cNvGraphicFramePr/>
                  <a:graphic xmlns:a="http://schemas.openxmlformats.org/drawingml/2006/main">
                    <a:graphicData uri="http://schemas.openxmlformats.org/drawingml/2006/picture">
                      <pic:pic xmlns:pic="http://schemas.openxmlformats.org/drawingml/2006/picture">
                        <pic:nvPicPr>
                          <pic:cNvPr id="17" name="picture" descr="descript"/>
                          <pic:cNvPicPr/>
                        </pic:nvPicPr>
                        <pic:blipFill>
                          <a:blip r:embed="rId9"/>
                          <a:srcRect/>
                          <a:stretch>
                            <a:fillRect/>
                          </a:stretch>
                        </pic:blipFill>
                        <pic:spPr>
                          <a:xfrm>
                            <a:off x="0" y="0"/>
                            <a:ext cx="600075" cy="600075"/>
                          </a:xfrm>
                          <a:prstGeom prst="rect">
                            <a:avLst/>
                          </a:prstGeom>
                        </pic:spPr>
                      </pic:pic>
                    </a:graphicData>
                  </a:graphic>
                </wp:inline>
              </w:drawing>
            </w:r>
            <w:r>
              <w:rPr>
                <w:rFonts w:hint="eastAsia" w:ascii="仿宋_GB2312" w:hAnsi="仿宋_GB2312" w:eastAsia="仿宋_GB2312" w:cs="仿宋_GB2312"/>
                <w:color w:val="000000"/>
                <w:szCs w:val="21"/>
              </w:rPr>
              <w:t> </w:t>
            </w:r>
          </w:p>
        </w:tc>
        <w:tc>
          <w:tcPr>
            <w:tcW w:w="573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物品二为圆柱体。</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尺寸：直径5cm ，高7cm（±1cm ），质量：≥15克</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材质、颜色不限，不得改变物品整体形状。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trPr>
        <w:tc>
          <w:tcPr>
            <w:tcW w:w="281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rPr>
              <w:drawing>
                <wp:inline distT="0" distB="0" distL="0" distR="0">
                  <wp:extent cx="723900" cy="723900"/>
                  <wp:effectExtent l="0" t="0" r="0" b="0"/>
                  <wp:docPr id="20" name="picture" descr="descript"/>
                  <wp:cNvGraphicFramePr/>
                  <a:graphic xmlns:a="http://schemas.openxmlformats.org/drawingml/2006/main">
                    <a:graphicData uri="http://schemas.openxmlformats.org/drawingml/2006/picture">
                      <pic:pic xmlns:pic="http://schemas.openxmlformats.org/drawingml/2006/picture">
                        <pic:nvPicPr>
                          <pic:cNvPr id="20" name="picture" descr="descript"/>
                          <pic:cNvPicPr/>
                        </pic:nvPicPr>
                        <pic:blipFill>
                          <a:blip r:embed="rId10"/>
                          <a:srcRect/>
                          <a:stretch>
                            <a:fillRect/>
                          </a:stretch>
                        </pic:blipFill>
                        <pic:spPr>
                          <a:xfrm>
                            <a:off x="0" y="0"/>
                            <a:ext cx="723900" cy="723900"/>
                          </a:xfrm>
                          <a:prstGeom prst="rect">
                            <a:avLst/>
                          </a:prstGeom>
                        </pic:spPr>
                      </pic:pic>
                    </a:graphicData>
                  </a:graphic>
                </wp:inline>
              </w:drawing>
            </w:r>
          </w:p>
        </w:tc>
        <w:tc>
          <w:tcPr>
            <w:tcW w:w="573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物品三为四棱锥体。</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尺寸：宽7cm，高10cm（±0.5cm），质量：≥15克</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材质、颜色不限，不得改变物品整体形状。</w:t>
            </w:r>
          </w:p>
        </w:tc>
      </w:tr>
    </w:tbl>
    <w:p>
      <w:pPr>
        <w:numPr>
          <w:ilvl w:val="255"/>
          <w:numId w:val="0"/>
        </w:numPr>
        <w:snapToGrid w:val="0"/>
        <w:spacing w:line="360" w:lineRule="auto"/>
        <w:ind w:firstLine="560" w:firstLineChars="200"/>
        <w:rPr>
          <w:rFonts w:ascii="仿宋_GB2312" w:hAnsi="仿宋_GB2312" w:eastAsia="仿宋_GB2312" w:cs="仿宋_GB2312"/>
          <w:sz w:val="28"/>
          <w:szCs w:val="28"/>
        </w:rPr>
      </w:pPr>
      <w:r>
        <w:rPr>
          <w:rFonts w:ascii="仿宋_GB2312" w:hAnsi="仿宋_GB2312" w:eastAsia="仿宋_GB2312" w:cs="仿宋_GB2312"/>
          <w:color w:val="000000"/>
          <w:sz w:val="28"/>
          <w:szCs w:val="28"/>
        </w:rPr>
        <w:t>3.</w:t>
      </w:r>
      <w:r>
        <w:rPr>
          <w:rFonts w:hint="eastAsia" w:ascii="仿宋_GB2312" w:hAnsi="仿宋_GB2312" w:eastAsia="仿宋_GB2312" w:cs="仿宋_GB2312"/>
          <w:color w:val="000000"/>
          <w:sz w:val="28"/>
          <w:szCs w:val="28"/>
        </w:rPr>
        <w:t>物品运输任务模型：</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855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rPr>
              <w:drawing>
                <wp:inline distT="0" distB="0" distL="0" distR="0">
                  <wp:extent cx="657225" cy="657225"/>
                  <wp:effectExtent l="0" t="0" r="0" b="0"/>
                  <wp:docPr id="23" name="picture" descr="descript"/>
                  <wp:cNvGraphicFramePr/>
                  <a:graphic xmlns:a="http://schemas.openxmlformats.org/drawingml/2006/main">
                    <a:graphicData uri="http://schemas.openxmlformats.org/drawingml/2006/picture">
                      <pic:pic xmlns:pic="http://schemas.openxmlformats.org/drawingml/2006/picture">
                        <pic:nvPicPr>
                          <pic:cNvPr id="23" name="picture" descr="descript"/>
                          <pic:cNvPicPr/>
                        </pic:nvPicPr>
                        <pic:blipFill>
                          <a:blip r:embed="rId11"/>
                          <a:srcRect/>
                          <a:stretch>
                            <a:fillRect/>
                          </a:stretch>
                        </pic:blipFill>
                        <pic:spPr>
                          <a:xfrm>
                            <a:off x="0" y="0"/>
                            <a:ext cx="657225" cy="657225"/>
                          </a:xfrm>
                          <a:prstGeom prst="rect">
                            <a:avLst/>
                          </a:prstGeom>
                        </pic:spPr>
                      </pic:pic>
                    </a:graphicData>
                  </a:graphic>
                </wp:inline>
              </w:drawing>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rPr>
              <w:drawing>
                <wp:inline distT="0" distB="0" distL="0" distR="0">
                  <wp:extent cx="657225" cy="657225"/>
                  <wp:effectExtent l="0" t="0" r="0" b="0"/>
                  <wp:docPr id="26" name="picture" descr="descript"/>
                  <wp:cNvGraphicFramePr/>
                  <a:graphic xmlns:a="http://schemas.openxmlformats.org/drawingml/2006/main">
                    <a:graphicData uri="http://schemas.openxmlformats.org/drawingml/2006/picture">
                      <pic:pic xmlns:pic="http://schemas.openxmlformats.org/drawingml/2006/picture">
                        <pic:nvPicPr>
                          <pic:cNvPr id="26" name="picture" descr="descript"/>
                          <pic:cNvPicPr/>
                        </pic:nvPicPr>
                        <pic:blipFill>
                          <a:blip r:embed="rId12"/>
                          <a:srcRect/>
                          <a:stretch>
                            <a:fillRect/>
                          </a:stretch>
                        </pic:blipFill>
                        <pic:spPr>
                          <a:xfrm>
                            <a:off x="0" y="0"/>
                            <a:ext cx="657225" cy="657225"/>
                          </a:xfrm>
                          <a:prstGeom prst="rect">
                            <a:avLst/>
                          </a:prstGeom>
                        </pic:spPr>
                      </pic:pic>
                    </a:graphicData>
                  </a:graphic>
                </wp:inline>
              </w:drawing>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rPr>
              <w:drawing>
                <wp:inline distT="0" distB="0" distL="0" distR="0">
                  <wp:extent cx="657225" cy="657225"/>
                  <wp:effectExtent l="0" t="0" r="0" b="0"/>
                  <wp:docPr id="29" name="picture" descr="descript"/>
                  <wp:cNvGraphicFramePr/>
                  <a:graphic xmlns:a="http://schemas.openxmlformats.org/drawingml/2006/main">
                    <a:graphicData uri="http://schemas.openxmlformats.org/drawingml/2006/picture">
                      <pic:pic xmlns:pic="http://schemas.openxmlformats.org/drawingml/2006/picture">
                        <pic:nvPicPr>
                          <pic:cNvPr id="29" name="picture" descr="descript"/>
                          <pic:cNvPicPr/>
                        </pic:nvPicPr>
                        <pic:blipFill>
                          <a:blip r:embed="rId13"/>
                          <a:srcRect/>
                          <a:stretch>
                            <a:fillRect/>
                          </a:stretch>
                        </pic:blipFill>
                        <pic:spPr>
                          <a:xfrm>
                            <a:off x="0" y="0"/>
                            <a:ext cx="657225" cy="65722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855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物品为六面立方体。尺寸：长*宽*高5cm （±0.2cm ），质量：≥8克。</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颜色为红、黄、绿各一个。材质不限，不得改变物品整体形状。</w:t>
            </w:r>
          </w:p>
        </w:tc>
      </w:tr>
    </w:tbl>
    <w:p>
      <w:pPr>
        <w:snapToGrid w:val="0"/>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4.飞行机器人场地模型</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1502"/>
        <w:gridCol w:w="1583"/>
        <w:gridCol w:w="1438"/>
        <w:gridCol w:w="1619"/>
        <w:gridCol w:w="1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2883"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丛林绕飞任务模型</w:t>
            </w:r>
          </w:p>
        </w:tc>
        <w:tc>
          <w:tcPr>
            <w:tcW w:w="3021"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穿越涵洞任务模型</w:t>
            </w:r>
          </w:p>
        </w:tc>
        <w:tc>
          <w:tcPr>
            <w:tcW w:w="2923"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color w:val="000000"/>
                <w:szCs w:val="21"/>
              </w:rPr>
              <w:t>空中平台任务模型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138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snapToGrid w:val="0"/>
              <w:spacing w:line="360" w:lineRule="auto"/>
              <w:jc w:val="center"/>
              <w:rPr>
                <w:rFonts w:hint="eastAsia" w:ascii="仿宋_GB2312" w:hAnsi="仿宋_GB2312" w:eastAsia="仿宋_GB2312" w:cs="仿宋_GB2312"/>
                <w:szCs w:val="21"/>
              </w:rPr>
            </w:pPr>
          </w:p>
          <w:p>
            <w:pPr>
              <w:snapToGrid w:val="0"/>
              <w:spacing w:line="360" w:lineRule="auto"/>
              <w:jc w:val="center"/>
              <w:rPr>
                <w:rFonts w:hint="eastAsia" w:ascii="仿宋_GB2312" w:hAnsi="仿宋_GB2312" w:eastAsia="仿宋_GB2312" w:cs="仿宋_GB2312"/>
                <w:szCs w:val="21"/>
              </w:rPr>
            </w:pPr>
          </w:p>
          <w:p>
            <w:pPr>
              <w:snapToGrid w:val="0"/>
              <w:spacing w:line="360" w:lineRule="auto"/>
              <w:jc w:val="center"/>
              <w:rPr>
                <w:rFonts w:hint="eastAsia" w:ascii="仿宋_GB2312" w:hAnsi="仿宋_GB2312" w:eastAsia="仿宋_GB2312" w:cs="仿宋_GB2312"/>
                <w:szCs w:val="21"/>
              </w:rPr>
            </w:pPr>
          </w:p>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drawing>
                <wp:inline distT="0" distB="0" distL="0" distR="0">
                  <wp:extent cx="612775" cy="1581150"/>
                  <wp:effectExtent l="0" t="0" r="0" b="0"/>
                  <wp:docPr id="32" name="picture" descr="descript"/>
                  <wp:cNvGraphicFramePr/>
                  <a:graphic xmlns:a="http://schemas.openxmlformats.org/drawingml/2006/main">
                    <a:graphicData uri="http://schemas.openxmlformats.org/drawingml/2006/picture">
                      <pic:pic xmlns:pic="http://schemas.openxmlformats.org/drawingml/2006/picture">
                        <pic:nvPicPr>
                          <pic:cNvPr id="32" name="picture" descr="descript"/>
                          <pic:cNvPicPr/>
                        </pic:nvPicPr>
                        <pic:blipFill>
                          <a:blip r:embed="rId14"/>
                          <a:srcRect r="-494" b="153"/>
                          <a:stretch>
                            <a:fillRect/>
                          </a:stretch>
                        </pic:blipFill>
                        <pic:spPr>
                          <a:xfrm>
                            <a:off x="0" y="0"/>
                            <a:ext cx="613320" cy="1581274"/>
                          </a:xfrm>
                          <a:prstGeom prst="rect">
                            <a:avLst/>
                          </a:prstGeom>
                        </pic:spPr>
                      </pic:pic>
                    </a:graphicData>
                  </a:graphic>
                </wp:inline>
              </w:drawing>
            </w:r>
          </w:p>
        </w:tc>
        <w:tc>
          <w:tcPr>
            <w:tcW w:w="150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 </w:t>
            </w:r>
          </w:p>
          <w:p>
            <w:pPr>
              <w:snapToGrid w:val="0"/>
              <w:spacing w:line="360" w:lineRule="auto"/>
              <w:rPr>
                <w:rFonts w:ascii="仿宋_GB2312" w:hAnsi="仿宋_GB2312" w:eastAsia="仿宋_GB2312" w:cs="仿宋_GB2312"/>
                <w:szCs w:val="21"/>
              </w:rPr>
            </w:pP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刀旗尺寸宽高为118×28cm（±1cm）</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刀旗距离地面最高处170—180cm</w:t>
            </w:r>
          </w:p>
        </w:tc>
        <w:tc>
          <w:tcPr>
            <w:tcW w:w="158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drawing>
                <wp:inline distT="0" distB="0" distL="0" distR="0">
                  <wp:extent cx="720725" cy="1597025"/>
                  <wp:effectExtent l="0" t="0" r="0" b="0"/>
                  <wp:docPr id="35" name="picture" descr="descript"/>
                  <wp:cNvGraphicFramePr/>
                  <a:graphic xmlns:a="http://schemas.openxmlformats.org/drawingml/2006/main">
                    <a:graphicData uri="http://schemas.openxmlformats.org/drawingml/2006/picture">
                      <pic:pic xmlns:pic="http://schemas.openxmlformats.org/drawingml/2006/picture">
                        <pic:nvPicPr>
                          <pic:cNvPr id="35" name="picture" descr="descript"/>
                          <pic:cNvPicPr/>
                        </pic:nvPicPr>
                        <pic:blipFill>
                          <a:blip r:embed="rId15"/>
                          <a:srcRect r="320" b="-78"/>
                          <a:stretch>
                            <a:fillRect/>
                          </a:stretch>
                        </pic:blipFill>
                        <pic:spPr>
                          <a:xfrm>
                            <a:off x="0" y="0"/>
                            <a:ext cx="721096" cy="1597468"/>
                          </a:xfrm>
                          <a:prstGeom prst="rect">
                            <a:avLst/>
                          </a:prstGeom>
                        </pic:spPr>
                      </pic:pic>
                    </a:graphicData>
                  </a:graphic>
                </wp:inline>
              </w:drawing>
            </w:r>
          </w:p>
        </w:tc>
        <w:tc>
          <w:tcPr>
            <w:tcW w:w="143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涵洞中心距离地面高110—120cm</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涵洞直径47cm（±1cm）</w:t>
            </w:r>
          </w:p>
          <w:p>
            <w:pPr>
              <w:snapToGrid w:val="0"/>
              <w:spacing w:line="360" w:lineRule="auto"/>
              <w:rPr>
                <w:rFonts w:ascii="仿宋_GB2312" w:hAnsi="仿宋_GB2312" w:eastAsia="仿宋_GB2312" w:cs="仿宋_GB2312"/>
                <w:szCs w:val="21"/>
              </w:rPr>
            </w:pPr>
          </w:p>
        </w:tc>
        <w:tc>
          <w:tcPr>
            <w:tcW w:w="16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drawing>
                <wp:inline distT="0" distB="0" distL="0" distR="0">
                  <wp:extent cx="876300" cy="1370330"/>
                  <wp:effectExtent l="0" t="0" r="12700" b="1270"/>
                  <wp:docPr id="38" name="picture" descr="descript"/>
                  <wp:cNvGraphicFramePr/>
                  <a:graphic xmlns:a="http://schemas.openxmlformats.org/drawingml/2006/main">
                    <a:graphicData uri="http://schemas.openxmlformats.org/drawingml/2006/picture">
                      <pic:pic xmlns:pic="http://schemas.openxmlformats.org/drawingml/2006/picture">
                        <pic:nvPicPr>
                          <pic:cNvPr id="38" name="picture" descr="descript"/>
                          <pic:cNvPicPr/>
                        </pic:nvPicPr>
                        <pic:blipFill>
                          <a:blip r:embed="rId16"/>
                          <a:srcRect r="-46" b="-37"/>
                          <a:stretch>
                            <a:fillRect/>
                          </a:stretch>
                        </pic:blipFill>
                        <pic:spPr>
                          <a:xfrm>
                            <a:off x="0" y="0"/>
                            <a:ext cx="876891" cy="1370425"/>
                          </a:xfrm>
                          <a:prstGeom prst="rect">
                            <a:avLst/>
                          </a:prstGeom>
                        </pic:spPr>
                      </pic:pic>
                    </a:graphicData>
                  </a:graphic>
                </wp:inline>
              </w:drawing>
            </w:r>
          </w:p>
        </w:tc>
        <w:tc>
          <w:tcPr>
            <w:tcW w:w="1304"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color w:val="000000"/>
                <w:szCs w:val="21"/>
              </w:rPr>
              <w:t>空中平台”为正方形平面，平面边沿无突起。</w:t>
            </w:r>
          </w:p>
          <w:p>
            <w:pPr>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color w:val="000000"/>
                <w:szCs w:val="21"/>
              </w:rPr>
              <w:t>平台平面尺寸为长*宽：40*40*cm （±1cm）。</w:t>
            </w:r>
          </w:p>
          <w:p>
            <w:pPr>
              <w:snapToGrid w:val="0"/>
              <w:spacing w:line="360" w:lineRule="auto"/>
              <w:rPr>
                <w:rFonts w:ascii="仿宋_GB2312" w:hAnsi="仿宋_GB2312" w:eastAsia="仿宋_GB2312" w:cs="仿宋_GB2312"/>
                <w:szCs w:val="21"/>
              </w:rPr>
            </w:pPr>
            <w:r>
              <w:rPr>
                <w:rFonts w:hint="eastAsia" w:ascii="仿宋_GB2312" w:hAnsi="仿宋_GB2312" w:eastAsia="仿宋_GB2312" w:cs="仿宋_GB2312"/>
                <w:color w:val="000000"/>
                <w:szCs w:val="21"/>
              </w:rPr>
              <w:t>平面距离场地高度为：120cm（±10cm）。   </w:t>
            </w:r>
          </w:p>
        </w:tc>
      </w:tr>
    </w:tbl>
    <w:p>
      <w:pPr>
        <w:snapToGrid w:val="0"/>
        <w:spacing w:line="360" w:lineRule="auto"/>
        <w:ind w:firstLine="562" w:firstLineChars="200"/>
        <w:jc w:val="left"/>
        <w:rPr>
          <w:rFonts w:ascii="仿宋_GB2312" w:hAnsi="仿宋_GB2312" w:eastAsia="仿宋_GB2312" w:cs="仿宋_GB2312"/>
          <w:b/>
          <w:sz w:val="28"/>
          <w:szCs w:val="28"/>
        </w:rPr>
      </w:pPr>
      <w:r>
        <w:rPr>
          <w:rFonts w:hint="eastAsia" w:ascii="仿宋_GB2312" w:hAnsi="仿宋_GB2312" w:eastAsia="仿宋_GB2312" w:cs="仿宋_GB2312"/>
          <w:b/>
          <w:color w:val="000000"/>
          <w:sz w:val="28"/>
          <w:szCs w:val="28"/>
        </w:rPr>
        <w:t>六、任务介绍</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（一）小学组</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轮式机器人完成任务细则：</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1.颜色识别：轮式机器人对摆放在场地A区域内的颜色识别器使用视觉传感器进行识别，完成该任务得10分。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场地位置A区域内摆放有一个颜色识别装置，轮式机器人从基地出发前先将颜色识别装置中带有颜色的旋转器通过压低装置的活动杆使其落入观察区，并通过视觉传感器进行识别，将识别到的颜色进行语音播报。轮式机器人语音播报的颜色与识别器正竖立面的颜色一致即为有效，否则不得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2.自主巡路：轮式机器人从一号基地出发，须使用视觉传感器进行视觉巡路任务，按照车道行驶前行，完成该任务得20分。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巡路过程中车轮不得压道路两边的黄色界线（黄色虚线除外），轮式机器人每压黄色界线1次扣2分，最高扣10分（单次压线时间超过5秒直接扣除10分）；轮式机器人须使用视觉传感器进行自主巡路，否则不得分。 </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3.清理障碍物：轮式机器人将位于道路位置C的障碍物清理并带回一号基地，完成该任务得10分。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轮式机器人自主巡路到位置C后，通过任意技术将障碍物清理并带回一号基地，轮式机器人将物品拾取后，在返回基地前物品不得接触地面，否则不得分。障碍物总共有三种，现场活动调试前由裁判抽签决定摆放其中一种（提交视频资料物品摆放四棱锥体），物品竖直摆放。 </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4.物品运输：轮式机器人自主巡路到场地B区域，将对应物品通过任意技术运输到场地D区域内，完成该任务得20分。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（1）须从道路黄色虚线处进入B区域前，对摆放在B区域内的红、黄、绿三个立方体进行识别。</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（2）通过任意技术将与“颜色识别”任务中旋转器正竖立面相同颜色的物品运输到场地D区域内，物品在拾取与摆放时，其垂直投影须完全进入摆放区域内。</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（3）三个立方体摆放的顺序现场活动调试前由裁判抽签决定（提交视频资料由队伍决定）。</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（4）否则不得分。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5.返回一号基地：轮式机器人自主巡路返回一号基地，完成该任务得10分。</w:t>
      </w:r>
    </w:p>
    <w:p>
      <w:pPr>
        <w:snapToGrid w:val="0"/>
        <w:spacing w:line="360" w:lineRule="auto"/>
        <w:ind w:firstLine="450"/>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完成标准：</w:t>
      </w:r>
    </w:p>
    <w:p>
      <w:pPr>
        <w:pStyle w:val="6"/>
        <w:widowControl/>
        <w:snapToGrid w:val="0"/>
        <w:spacing w:line="360" w:lineRule="auto"/>
        <w:ind w:firstLine="450"/>
        <w:jc w:val="left"/>
        <w:rPr>
          <w:rFonts w:ascii="仿宋_GB2312" w:hAnsi="仿宋_GB2312" w:eastAsia="仿宋_GB2312" w:cs="仿宋_GB2312"/>
          <w:sz w:val="28"/>
          <w:szCs w:val="28"/>
        </w:rPr>
      </w:pPr>
      <w:r>
        <w:rPr>
          <w:rFonts w:hint="default" w:ascii="仿宋_GB2312" w:hAnsi="仿宋_GB2312" w:eastAsia="仿宋_GB2312" w:cs="仿宋_GB2312"/>
          <w:sz w:val="28"/>
          <w:szCs w:val="28"/>
        </w:rPr>
        <w:t>（1）</w:t>
      </w:r>
      <w:r>
        <w:rPr>
          <w:rFonts w:hint="eastAsia" w:ascii="仿宋_GB2312" w:hAnsi="仿宋_GB2312" w:eastAsia="仿宋_GB2312" w:cs="仿宋_GB2312"/>
          <w:sz w:val="28"/>
          <w:szCs w:val="28"/>
        </w:rPr>
        <w:t>轮式机器人在D区域前等候飞行机器人投放物品。</w:t>
      </w:r>
    </w:p>
    <w:p>
      <w:pPr>
        <w:snapToGrid w:val="0"/>
        <w:spacing w:line="360" w:lineRule="auto"/>
        <w:ind w:firstLine="450"/>
        <w:jc w:val="left"/>
        <w:rPr>
          <w:rFonts w:ascii="仿宋_GB2312" w:hAnsi="仿宋_GB2312" w:eastAsia="仿宋_GB2312" w:cs="仿宋_GB2312"/>
          <w:sz w:val="28"/>
          <w:szCs w:val="28"/>
        </w:rPr>
      </w:pPr>
      <w:r>
        <w:rPr>
          <w:rFonts w:hint="default" w:ascii="仿宋_GB2312" w:hAnsi="仿宋_GB2312" w:eastAsia="仿宋_GB2312" w:cs="仿宋_GB2312"/>
          <w:color w:val="000000"/>
          <w:sz w:val="28"/>
          <w:szCs w:val="28"/>
        </w:rPr>
        <w:t>（2）</w:t>
      </w:r>
      <w:r>
        <w:rPr>
          <w:rFonts w:hint="eastAsia" w:ascii="仿宋_GB2312" w:hAnsi="仿宋_GB2312" w:eastAsia="仿宋_GB2312" w:cs="仿宋_GB2312"/>
          <w:color w:val="000000"/>
          <w:sz w:val="28"/>
          <w:szCs w:val="28"/>
        </w:rPr>
        <w:t>轮式机器人在至少完成两个满分任务后自主巡路返回一号基地，返回基地时轮式机器人至少2个驱动轮垂直投影进入基地内，否则不得分。</w:t>
      </w:r>
    </w:p>
    <w:p>
      <w:pPr>
        <w:snapToGrid w:val="0"/>
        <w:spacing w:line="360" w:lineRule="auto"/>
        <w:jc w:val="left"/>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飞行机器人完成任务细则：</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1.丛林绕飞：飞行机器人绕飞刀旗360°，完成该任务得10分。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从二号基地起飞之后飞行至场地H区域，对摆放在H区域内的刀旗进行360°绕飞，绕飞方向不限。H区域内设有两个红色十字标号，刀旗摆放在其中一个红色十字标号，现场活动调试前由裁判抽签决定（提交视频资料由队伍决定）。</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2.山脊巡视。飞行机器人须使用视觉模块按照活动场地上给出的黑色引导轨迹巡视飞行，飞行机器人从其中一端开始进行巡视，完成该任务得10分。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完成标准：飞行机器人飞行至场地F区域，按场地给出的黑色引导线自主巡迹飞行至场地D区域，自主巡迹飞行过程中不得明显偏离黑色引导线，否则不得分。</w:t>
      </w:r>
    </w:p>
    <w:p>
      <w:pPr>
        <w:pStyle w:val="6"/>
        <w:widowControl/>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3.物品运输：飞行机器人</w:t>
      </w:r>
      <w:r>
        <w:rPr>
          <w:rFonts w:hint="eastAsia" w:ascii="仿宋_GB2312" w:hAnsi="仿宋_GB2312" w:eastAsia="仿宋_GB2312" w:cs="仿宋_GB2312"/>
          <w:sz w:val="28"/>
          <w:szCs w:val="28"/>
        </w:rPr>
        <w:t>携带物品起飞，运输投放到场地D区域前等候的轮式机器人上，完成该任务得20分。</w:t>
      </w:r>
    </w:p>
    <w:p>
      <w:pPr>
        <w:pStyle w:val="6"/>
        <w:widowControl/>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完成标准：飞行机器人在起飞时携带物品，飞行至场地D区域，将物品通过任意技术运输投放到场地D区等候的轮式机器人上。</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4.穿越涵洞：飞行机器人穿越摆放在活动场地H区域的涵洞，完成该任务得10分。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规则及得分标准：飞行机器人以任意速度穿越竖直摆放的涵洞，穿越方向不限。涵洞竖直中心摆放在区域H区域内的任意一个红色十字标号上，现场活动调试前由裁判抽签决定摆放其中一个红色十字标号上（提交视频资料由队伍决定）。</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5.基地降落：飞行机器人自主返回降落二号基地，完成该任务得10分。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完成规则及得分标准：飞行机器人在至少完成两个满分任务后自主飞行返回到二号基地降落，飞行机器人任意部位垂直投影进入基地内即可，否则不得分。</w:t>
      </w:r>
    </w:p>
    <w:p>
      <w:pPr>
        <w:snapToGrid w:val="0"/>
        <w:spacing w:line="360" w:lineRule="auto"/>
        <w:ind w:firstLine="562" w:firstLineChars="200"/>
        <w:jc w:val="left"/>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（二）初中组</w:t>
      </w:r>
    </w:p>
    <w:p>
      <w:pPr>
        <w:snapToGrid w:val="0"/>
        <w:spacing w:line="360" w:lineRule="auto"/>
        <w:ind w:firstLine="562" w:firstLineChars="200"/>
        <w:jc w:val="left"/>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轮式机器人完成任务细则：</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1.颜色识别：轮式机器人对摆放在场地A区域内的颜色识别器使用视觉传感器进行识别，完成该任务得10分。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场地位置A区域内摆放有一个颜色识别装置，轮式机器人从基地出发前先将颜色识别装置中带有颜色的旋转器通过压低装置的活动杆使其落入观察区，并通过视觉传感器进行识别，将识别到的颜色通进行语音播报。轮式机器人语音播报的颜色与识别器正竖立面的颜色一致即为有效，否则不得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2.自主巡路：轮式机器人从一号基地出发，须使用视觉传感器进行视觉巡路任务，按照车道行驶前行，完成该任务得20分。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巡路过程中车轮不得压道路两边的黄色界线（黄色虚线除外），轮式机器人每压黄色界线1次扣2分，最高扣10分（单次压线时间超过5秒直接扣除10分）；轮式机器人须使用视觉传感器进行自主巡路，否则不得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3.运送飞行机器人：轮式机器人从一号基地出发时将携带的飞行机器人运送到指定区域，完成该任务得10分。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完成标准：轮式机器人从一号基地出发携带飞行机器人通过自主巡路运送到场地位置C前面道路上，等待飞行机器人起飞后继续完成后续任务；运送过程中飞行机器人任何部位不得与地面接触，否则不得分。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4.清理障碍物：轮式机器人将位于道路位置C的障碍物清理并带回一号基地，完成该任务得10分。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轮式机器人自主巡路到位置C后，通过任意技术将障碍物清理并带回一号基地，轮式机器人将物品拾取后，在返回基地前物品不得接触地面，否则不得分。障碍物总共有三种，现场活动调试前由裁判抽签决定摆放其中一种（提交视频资料物品摆放四棱锥体），物品竖直摆放。</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5.物品运输：轮式机器人自主巡路到场地B区域，将与对应物品运输到场地D区域内，完成该任务得20分。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（1）须从道路黄色虚线处进入B区域，对摆放在B区域内的红、黄、绿三个立方体进行识别。</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（2）通过任意技术将与任务“颜色识别”中颜色识别器正竖立面相同颜色的立方体运输到场地D区域内，物品拾取与摆放时，其垂直投影须完全进入摆放区域内。</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（3）三个立方体摆放的顺序现场活动调试前由裁判抽签决定（提交视频资料由队伍决定）。</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（4）否则不得分。</w:t>
      </w:r>
    </w:p>
    <w:p>
      <w:pPr>
        <w:snapToGrid w:val="0"/>
        <w:spacing w:line="360" w:lineRule="auto"/>
        <w:ind w:firstLine="420" w:firstLineChars="150"/>
        <w:jc w:val="left"/>
        <w:rPr>
          <w:rFonts w:ascii="仿宋_GB2312" w:hAnsi="仿宋_GB2312" w:eastAsia="仿宋_GB2312" w:cs="仿宋_GB2312"/>
          <w:sz w:val="28"/>
          <w:szCs w:val="28"/>
        </w:rPr>
      </w:pPr>
      <w:r>
        <w:rPr>
          <w:rFonts w:ascii="仿宋_GB2312" w:hAnsi="仿宋_GB2312" w:eastAsia="仿宋_GB2312" w:cs="仿宋_GB2312"/>
          <w:color w:val="000000"/>
          <w:sz w:val="28"/>
          <w:szCs w:val="28"/>
        </w:rPr>
        <w:t>6</w:t>
      </w:r>
      <w:r>
        <w:rPr>
          <w:rFonts w:hint="eastAsia" w:ascii="仿宋_GB2312" w:hAnsi="仿宋_GB2312" w:eastAsia="仿宋_GB2312" w:cs="仿宋_GB2312"/>
          <w:color w:val="000000"/>
          <w:sz w:val="28"/>
          <w:szCs w:val="28"/>
        </w:rPr>
        <w:t>.返回一号基地：轮式机器人自主巡路返回一号基地，完成该任务得10分。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完成标准：机器人在至少完成两个满分任务后自主巡路返回一号基地，返回基地时轮式机器人至少2个驱动轮垂直投影进入基地内，否则不得分。</w:t>
      </w:r>
    </w:p>
    <w:p>
      <w:pPr>
        <w:snapToGrid w:val="0"/>
        <w:spacing w:line="360" w:lineRule="auto"/>
        <w:jc w:val="left"/>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飞行机器人完成任务细则：</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1.自主成功起飞：飞行机器人通过轮式机器人的运送到达场地位置C前面的道路从轮式机器人上起飞，完成该任务得10分。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完成标准：飞行机器人在等待轮式机器人运送到达场地位置C区后，自主成功起飞，否则不得分。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2.物品运输：飞行机器人将摆放在场地D区域内的物品运输到场地E区域摆放的空中平台上，完成该任务得20分。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完成标准：飞行机器人飞行至场地D区域，将活动前由裁判摆放在场地D区域内的物品通过任意技术运输到场地E区域摆放的空中平台上，否则不得分。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3.山脊巡视：飞行机器人须使用视觉传感器按场地上的黑色引导线轨迹飞行，完成该任务得10分。</w:t>
      </w:r>
    </w:p>
    <w:p>
      <w:pPr>
        <w:snapToGrid w:val="0"/>
        <w:spacing w:line="360" w:lineRule="auto"/>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完成标准：飞行机器人飞行至场地位置D，然后按黑色引导线通过视觉巡线飞行到达位置场地F，区域，在场地F区域落降停留至少3秒钟，巡线过程中不得明细偏离黑色引导线，否则不得分。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4.丛林绕飞：飞行机器人绕飞刀旗360°，完成该任务得10分。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飞行至场地H区域，对摆放在H区域内的刀旗进行360°绕飞，绕飞方向不限。H区域内设有两个红色十字标号，刀旗摆放在其中一个红色十字标号，现场活动调试前由裁判抽签决定（提交视频资料由队伍决定）。</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5.穿越涵洞：飞行机器人穿越摆放在活动场地H区域的涵洞，完成该任务得10分。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完成规则及得分标准：飞行机器人以任意速度穿越竖直摆放的涵洞，穿越方向不限。</w:t>
      </w:r>
    </w:p>
    <w:p>
      <w:pPr>
        <w:snapToGrid w:val="0"/>
        <w:spacing w:line="360" w:lineRule="auto"/>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涵洞竖直中心摆放在区域H区域内的任意一个红色十字标号上，现场活动调试前由裁判抽签决定摆放其中一个红色十字标号上（提交视频资料由队伍决定）。</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6.基地降落：飞行机器人降落到二号基地，完成该任务得10分。</w:t>
      </w:r>
    </w:p>
    <w:p>
      <w:pPr>
        <w:snapToGrid w:val="0"/>
        <w:spacing w:line="360" w:lineRule="auto"/>
        <w:ind w:firstLine="450"/>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完成标准：飞行机器人在至少完成两个任务前提下自主飞行至二号基地降落，飞行机器人任意部位垂直投影进入二号基地边界内即可，否则不得分。</w:t>
      </w:r>
    </w:p>
    <w:p>
      <w:pPr>
        <w:snapToGrid w:val="0"/>
        <w:spacing w:line="360" w:lineRule="auto"/>
        <w:ind w:firstLine="281" w:firstLineChars="100"/>
        <w:jc w:val="left"/>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（三）高中</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中职）</w:t>
      </w:r>
      <w:r>
        <w:rPr>
          <w:rFonts w:hint="eastAsia" w:ascii="仿宋_GB2312" w:hAnsi="仿宋_GB2312" w:eastAsia="仿宋_GB2312" w:cs="仿宋_GB2312"/>
          <w:b/>
          <w:color w:val="000000"/>
          <w:sz w:val="28"/>
          <w:szCs w:val="28"/>
        </w:rPr>
        <w:t>组</w:t>
      </w:r>
    </w:p>
    <w:p>
      <w:pPr>
        <w:snapToGrid w:val="0"/>
        <w:spacing w:line="360" w:lineRule="auto"/>
        <w:ind w:firstLine="562" w:firstLineChars="200"/>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轮式机器人完成任务细则：</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1.颜色识别：轮式机器人对摆放在场地A区域内的颜色识别器使用视觉传感器进行识别，完成该任务得10分。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场地位置A区域内摆放有一个颜色识别装置，轮式机器人从基地出发前先将颜色识别装置中带有颜色的旋转器通过压低装置的活动杆使其落入观察区，并通过视觉传感器进行识别，将识别到的颜色进行语音播报。轮式机器人语音播报的颜色与识别器正竖立面的颜色一致即为有效，否则不得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2.自主巡路：轮式机器人从一号基地出发，须使用视觉传感器进行视觉巡路任务，按照车道行驶前行，完成该任务得20分。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巡路过程中车轮不得压道路两边的黄色界线（黄色虚线除外），轮式机器人每压黄色界线1次扣2分，最高扣10分（单次压线时间超过5秒直接扣除10分）；轮式机器人须使用视觉传感器进行自主巡路，否则不得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3.清理障碍物：轮式机器人将位于道路位置C的障碍物清理并带回一号基地，完成该任务得10分。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轮式机器人自主巡路到位置C后，通过任意技术将障碍物清理并带回一号基地，轮式机器人将物品拾取后，在返回基地前物品不得接触地面，否则不得分。障碍物总共有三种，现场活动调试前由裁判抽签决定摆放其中一种（提交视频资料物品摆放四棱锥体），物品竖直摆放。</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4.物品运输：轮式机器人自主巡路到道路设有黄色虚线处进入场地B区域，将与对应物品运输到场地D区域内，完成该任务得20分。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（1）须从道路黄色虚线处进入B区域，对摆放在B区域内的红、黄、绿三个立方体进行识别。</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（2）通过任意技术将与任务“颜色识别”中颜色识别器正竖立面相同颜色的立方体运输到场地D区域内，物品拾取与摆放时，其垂直投影须完全进入摆放区域内。</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（3）三个立方体摆放的顺序现场活动调试前由裁判抽签决定（提交视频资料由队伍决定）。</w:t>
      </w:r>
    </w:p>
    <w:p>
      <w:pPr>
        <w:snapToGrid w:val="0"/>
        <w:spacing w:line="360" w:lineRule="auto"/>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   （4）否则不得分。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5.运送飞行机器人：轮式机器人将降落在顶部上的飞行机器人运送回一号基地，完成该任务得10分。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轮式机器人自主巡路到场地D区域前，等待飞行机器人降落至车顶上，并将运送回一号基地，在轮式机器人进入一号基地前（飞行机器人任意部位垂直投影进入基地即可）飞行机器人任意部位不得与地面接触，否则不得分。 </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6.返回基地：轮式机器人通过视觉自主巡路返回基地，完成该任务得10分。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完成标准：轮式机器人至少完成2个任务前提下，轮式机器人通过视觉自主巡路返回一号基地；轮式机器人至少两个驱动轮垂直投影进入一号基地内，否则不得分。</w:t>
      </w:r>
    </w:p>
    <w:p>
      <w:pPr>
        <w:snapToGrid w:val="0"/>
        <w:spacing w:line="360" w:lineRule="auto"/>
        <w:ind w:firstLine="315"/>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t>飞行机器人完成任务细则：</w:t>
      </w:r>
    </w:p>
    <w:p>
      <w:pPr>
        <w:snapToGrid w:val="0"/>
        <w:spacing w:line="360" w:lineRule="auto"/>
        <w:ind w:firstLine="495"/>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1.丛林绕飞：飞行机器人绕飞刀旗360°，完成该任务得10分。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从二号基地起飞之后飞行至场地H区域，对摆放在H区域内的刀旗进行360°绕飞，绕飞方向不限。H区域内设有两个红色十字标号，刀旗摆放在其中一个红色十字标号，现场活动调试前由裁判抽签决定（提交视频资料由队伍决定）。</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2.穿越涵洞：飞行机器人穿越摆放在活动场地H区域的涵洞，完成该任务得10分。</w:t>
      </w:r>
    </w:p>
    <w:p>
      <w:pPr>
        <w:snapToGrid w:val="0"/>
        <w:spacing w:line="360" w:lineRule="auto"/>
        <w:ind w:firstLine="495"/>
        <w:jc w:val="lef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规则及得分标准：飞行机器人以任意速度穿越竖直摆放的涵洞，穿越方向不限。涵洞竖直中心摆放在区域H区域内的任意一个红色十字标号上，现场活动调试前由裁判抽签决定摆放其中一个红色十字标号上（提交视频资料由队伍决定）。</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3.山脊巡视：飞行机器人须使用视觉传感器按场地上的黑色引导线轨迹飞行，完成该任务得10分。</w:t>
      </w:r>
    </w:p>
    <w:p>
      <w:pPr>
        <w:snapToGrid w:val="0"/>
        <w:spacing w:line="360" w:lineRule="auto"/>
        <w:ind w:firstLine="495"/>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完成标准：飞行机器人飞行至场地F区域，然后按黑色引导线通过视觉巡线飞行到达场地D区域，巡线过程中不得明细偏离黑色引导线，否则不得分。</w:t>
      </w:r>
    </w:p>
    <w:p>
      <w:pPr>
        <w:snapToGrid w:val="0"/>
        <w:spacing w:line="360" w:lineRule="auto"/>
        <w:ind w:firstLine="48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4.物品运输：飞行机器人将位于场地E区域空中平台摆放的物品运输到指定区域，完成该任务得20分。</w:t>
      </w:r>
    </w:p>
    <w:p>
      <w:pPr>
        <w:snapToGrid w:val="0"/>
        <w:spacing w:line="360" w:lineRule="auto"/>
        <w:ind w:firstLine="48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完成标准：飞行机器人飞行至场地E区域，将场地E区域空中平台上摆放的物品通过任意技术运输到场地D区域内；物品拾取与摆放时的垂直投影须完成进入指定区域内，否则不得分。</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5.车顶降落：飞行机器人成功降落到轮式机器人上，完成该任务得10分。 </w:t>
      </w:r>
    </w:p>
    <w:p>
      <w:pPr>
        <w:snapToGrid w:val="0"/>
        <w:spacing w:line="360" w:lineRule="auto"/>
        <w:ind w:firstLine="48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完成标准：飞行机器人在至少完成两个满分任务前提下，降落到停在场地D区域前面道路的等候轮式机器人上，飞行机器人任意部位不得接触地面，否则不得分。</w:t>
      </w:r>
    </w:p>
    <w:p>
      <w:pPr>
        <w:snapToGrid w:val="0"/>
        <w:spacing w:line="360" w:lineRule="auto"/>
        <w:ind w:firstLine="562" w:firstLineChars="200"/>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七、活动其他细则要求</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（一）活动场地上黑色引导线上及车道内不得摆放识别定位标签，否则相关任务不得分</w:t>
      </w:r>
    </w:p>
    <w:p>
      <w:pPr>
        <w:snapToGrid w:val="0"/>
        <w:spacing w:line="360" w:lineRule="auto"/>
        <w:ind w:firstLine="420" w:firstLineChars="15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（二）其余位置每使用1个定位识别标签扣2分。</w:t>
      </w:r>
    </w:p>
    <w:p>
      <w:pPr>
        <w:snapToGrid w:val="0"/>
        <w:spacing w:line="360" w:lineRule="auto"/>
        <w:ind w:firstLine="562" w:firstLineChars="200"/>
        <w:rPr>
          <w:rFonts w:ascii="仿宋_GB2312" w:hAnsi="仿宋_GB2312" w:eastAsia="仿宋_GB2312" w:cs="仿宋_GB2312"/>
          <w:b/>
          <w:sz w:val="28"/>
          <w:szCs w:val="28"/>
        </w:rPr>
      </w:pPr>
      <w:r>
        <w:rPr>
          <w:rFonts w:hint="eastAsia" w:ascii="仿宋_GB2312" w:hAnsi="仿宋_GB2312" w:eastAsia="仿宋_GB2312" w:cs="仿宋_GB2312"/>
          <w:b/>
          <w:color w:val="000000"/>
          <w:sz w:val="28"/>
          <w:szCs w:val="28"/>
        </w:rPr>
        <w:t>八、活动结束标准：</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（一）设备启动之后活动过程中选手接触遥控器及电脑。</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（二）活动过程中轮式机器人与飞行机器人超出活动场地。</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（三）活动过程中，轮式机器人超出行驶车道。</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（四）活动过程中，飞行机器人和轮式机器人都返回场地</w:t>
      </w:r>
    </w:p>
    <w:p>
      <w:pPr>
        <w:snapToGrid w:val="0"/>
        <w:spacing w:line="360" w:lineRule="auto"/>
        <w:ind w:firstLine="420" w:firstLineChars="15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（五）参赛选手举手示意裁判活动结束。</w:t>
      </w:r>
    </w:p>
    <w:p>
      <w:pPr>
        <w:snapToGrid w:val="0"/>
        <w:spacing w:line="360" w:lineRule="auto"/>
        <w:ind w:firstLine="562" w:firstLineChars="200"/>
        <w:rPr>
          <w:rFonts w:ascii="仿宋_GB2312" w:hAnsi="仿宋_GB2312" w:eastAsia="仿宋_GB2312" w:cs="仿宋_GB2312"/>
          <w:b/>
          <w:sz w:val="28"/>
          <w:szCs w:val="28"/>
        </w:rPr>
      </w:pPr>
      <w:r>
        <w:rPr>
          <w:rFonts w:hint="eastAsia" w:ascii="仿宋_GB2312" w:hAnsi="仿宋_GB2312" w:eastAsia="仿宋_GB2312" w:cs="仿宋_GB2312"/>
          <w:b/>
          <w:color w:val="000000"/>
          <w:sz w:val="28"/>
          <w:szCs w:val="28"/>
        </w:rPr>
        <w:t>九、活动用时与得分规定</w:t>
      </w:r>
    </w:p>
    <w:p>
      <w:pPr>
        <w:snapToGrid w:val="0"/>
        <w:spacing w:line="360" w:lineRule="auto"/>
        <w:ind w:firstLine="48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（一）每支队伍由两次活动机会，两次活动的间隔时间和调试时间由活动组委会根据具体时间安排，每次不超过 5 分钟，取两轮最高成绩为队伍最终成绩。</w:t>
      </w:r>
    </w:p>
    <w:p>
      <w:pPr>
        <w:snapToGrid w:val="0"/>
        <w:spacing w:line="360" w:lineRule="auto"/>
        <w:ind w:firstLine="465"/>
        <w:jc w:val="lef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（二）用时得分计算标准：完成任务数量/总任务数量×（300秒-活动用时）×10%=用时得分</w:t>
      </w:r>
    </w:p>
    <w:p>
      <w:pPr>
        <w:snapToGrid w:val="0"/>
        <w:spacing w:line="360" w:lineRule="auto"/>
        <w:ind w:firstLine="562" w:firstLineChars="200"/>
        <w:jc w:val="left"/>
        <w:rPr>
          <w:rFonts w:ascii="仿宋_GB2312" w:hAnsi="仿宋_GB2312" w:eastAsia="仿宋_GB2312" w:cs="仿宋_GB2312"/>
          <w:b/>
          <w:sz w:val="28"/>
          <w:szCs w:val="28"/>
        </w:rPr>
      </w:pPr>
      <w:r>
        <w:rPr>
          <w:rFonts w:hint="eastAsia" w:ascii="仿宋_GB2312" w:hAnsi="仿宋_GB2312" w:eastAsia="仿宋_GB2312" w:cs="仿宋_GB2312"/>
          <w:b/>
          <w:color w:val="000000"/>
          <w:sz w:val="28"/>
          <w:szCs w:val="28"/>
        </w:rPr>
        <w:t>十、现场活动当日流程</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（一）获取图纸：到现场的队伍，可获得“场地图”与“得分说明”，开始观摩活动场地。</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（二）出场抽签：选手参与抽签，决定活动出场顺序。</w:t>
      </w:r>
    </w:p>
    <w:p>
      <w:pPr>
        <w:snapToGrid w:val="0"/>
        <w:spacing w:line="360" w:lineRule="auto"/>
        <w:ind w:firstLine="420" w:firstLineChars="15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（三）程序设计：</w:t>
      </w:r>
    </w:p>
    <w:p>
      <w:pPr>
        <w:snapToGrid w:val="0"/>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1.选手结合场地图观察活动场地的实际情况，需在120分钟内完成对机器人的编程。</w:t>
      </w:r>
    </w:p>
    <w:p>
      <w:pPr>
        <w:snapToGrid w:val="0"/>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2.编程过程中，选手可自行携带测量工具（如卷尺），对场地进行实测。工作人员有权随时维护秩序，确保场地不被破坏。</w:t>
      </w:r>
    </w:p>
    <w:p>
      <w:pPr>
        <w:snapToGrid w:val="0"/>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3.在此阶段的120分钟内，考虑到编程结果需在场地进行相关的验证，选手可向裁判申请试运行机器人，由裁判根据申请时间先后安排试飞顺序。选手需要按照场地秩序，有序地排队进行编程及调试，不遵守秩序的选手可能会被取消活动资格。</w:t>
      </w:r>
    </w:p>
    <w:p>
      <w:pPr>
        <w:snapToGrid w:val="0"/>
        <w:spacing w:line="360" w:lineRule="auto"/>
        <w:jc w:val="left"/>
        <w:rPr>
          <w:rFonts w:ascii="仿宋_GB2312" w:hAnsi="仿宋_GB2312" w:eastAsia="仿宋_GB2312" w:cs="仿宋_GB2312"/>
          <w:sz w:val="28"/>
          <w:szCs w:val="28"/>
        </w:rPr>
      </w:pPr>
    </w:p>
    <w:p>
      <w:pPr>
        <w:snapToGrid w:val="0"/>
        <w:spacing w:line="360" w:lineRule="auto"/>
        <w:ind w:firstLine="480"/>
        <w:rPr>
          <w:rFonts w:ascii="仿宋_GB2312" w:hAnsi="仿宋_GB2312" w:eastAsia="仿宋_GB2312" w:cs="仿宋_GB2312"/>
          <w:sz w:val="28"/>
          <w:szCs w:val="28"/>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br w:type="page"/>
      </w:r>
      <w:r>
        <w:rPr>
          <w:rFonts w:hint="eastAsia" w:ascii="黑体" w:hAnsi="黑体" w:eastAsia="黑体" w:cs="黑体"/>
          <w:color w:val="000000"/>
          <w:sz w:val="32"/>
          <w:szCs w:val="32"/>
        </w:rPr>
        <w:t>小学组陆空智能协同搬运规则记分表</w:t>
      </w:r>
    </w:p>
    <w:p>
      <w:pPr>
        <w:snapToGrid w:val="0"/>
        <w:spacing w:line="360" w:lineRule="auto"/>
        <w:jc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序号：          选手姓名：             学校： </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146"/>
        <w:gridCol w:w="4755"/>
        <w:gridCol w:w="1215"/>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19"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任务及分值</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得分标准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第一轮分数</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第二轮分数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73" w:type="dxa"/>
            <w:vMerge w:val="restart"/>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轮式机器人</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颜色识别</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10分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旋转器落入观察区，并通过视觉传感器进行识别，轮式机器人语音播报的颜色与识别器正竖立面的颜色一致即为有效任务，否则不得分。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73"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自主巡路</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20分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轮式机器人每压黄色界线1次扣2分，最高扣10分（单次压线时间超过5秒直接扣除10分）；轮式机器人须使用视觉传感器进行自主巡路，否则不得分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清理障碍物10分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通过任意技术将障碍物清理并带回一号基地，轮式机器人将物品拾取后，在返回基地前物品不得接触地面，否则不得分。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物品运输</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20分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将B区域内与“颜色识别”任务中旋转器正竖立面相同颜色的物品运输到D区域内</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返回一号基地</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10分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飞行机器人在至少完成两个满分任务后自主巡路返回一号基地，返回基地时轮式机器人至少2个驱动轮垂直投影进入基地内，否则不得分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Merge w:val="restart"/>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飞行机器人</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丛林绕飞</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10分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对摆放在H区域内的刀旗进行360°绕飞，绕飞方向不限</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color w:val="000000"/>
                <w:sz w:val="22"/>
                <w:szCs w:val="22"/>
              </w:rPr>
              <w:t>山脊巡视</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10分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ind w:firstLine="315"/>
              <w:textAlignment w:val="auto"/>
              <w:rPr>
                <w:rFonts w:hint="eastAsia" w:ascii="仿宋" w:hAnsi="仿宋" w:eastAsia="仿宋" w:cs="仿宋"/>
                <w:sz w:val="22"/>
                <w:szCs w:val="22"/>
              </w:rPr>
            </w:pPr>
            <w:r>
              <w:rPr>
                <w:rFonts w:hint="eastAsia" w:ascii="仿宋" w:hAnsi="仿宋" w:eastAsia="仿宋" w:cs="仿宋"/>
                <w:color w:val="000000"/>
                <w:sz w:val="22"/>
                <w:szCs w:val="22"/>
              </w:rPr>
              <w:t>按场地给出的黑色引导线自主巡迹飞行至场地D区域，飞行过程中不得明显偏离黑色引导线，否则不得分。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sz w:val="22"/>
                <w:szCs w:val="22"/>
              </w:rPr>
              <w:t>物品运输</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sz w:val="22"/>
                <w:szCs w:val="22"/>
              </w:rPr>
              <w:t>20分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pStyle w:val="6"/>
              <w:keepNext w:val="0"/>
              <w:keepLines w:val="0"/>
              <w:pageBreakBefore w:val="0"/>
              <w:widowControl/>
              <w:kinsoku/>
              <w:wordWrap/>
              <w:overflowPunct/>
              <w:topLinePunct w:val="0"/>
              <w:autoSpaceDE/>
              <w:autoSpaceDN/>
              <w:bidi w:val="0"/>
              <w:adjustRightInd/>
              <w:snapToGrid w:val="0"/>
              <w:spacing w:line="240" w:lineRule="auto"/>
              <w:textAlignment w:val="auto"/>
              <w:rPr>
                <w:rFonts w:hint="eastAsia" w:ascii="仿宋" w:hAnsi="仿宋" w:eastAsia="仿宋" w:cs="仿宋"/>
                <w:sz w:val="22"/>
                <w:szCs w:val="22"/>
              </w:rPr>
            </w:pPr>
            <w:r>
              <w:rPr>
                <w:rFonts w:hint="eastAsia" w:ascii="仿宋" w:hAnsi="仿宋" w:eastAsia="仿宋" w:cs="仿宋"/>
                <w:sz w:val="22"/>
                <w:szCs w:val="22"/>
              </w:rPr>
              <w:t>将起飞时携带的的物品通过任意技术运输到场地D区域前等候的轮式机器人上面</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穿越涵洞</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10分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textAlignment w:val="auto"/>
              <w:rPr>
                <w:rFonts w:hint="eastAsia" w:ascii="仿宋" w:hAnsi="仿宋" w:eastAsia="仿宋" w:cs="仿宋"/>
                <w:sz w:val="22"/>
                <w:szCs w:val="22"/>
              </w:rPr>
            </w:pPr>
            <w:r>
              <w:rPr>
                <w:rFonts w:hint="eastAsia" w:ascii="仿宋" w:hAnsi="仿宋" w:eastAsia="仿宋" w:cs="仿宋"/>
                <w:color w:val="000000"/>
                <w:sz w:val="22"/>
                <w:szCs w:val="22"/>
              </w:rPr>
              <w:t>飞行机器人以任意速度穿越竖直摆放的涵洞，穿越方向不限。</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3"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p>
        </w:tc>
        <w:tc>
          <w:tcPr>
            <w:tcW w:w="11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基地降落</w:t>
            </w:r>
          </w:p>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z w:val="22"/>
                <w:szCs w:val="22"/>
              </w:rPr>
              <w:t>10分</w:t>
            </w:r>
          </w:p>
        </w:tc>
        <w:tc>
          <w:tcPr>
            <w:tcW w:w="475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在至少完成两个满分任务后自主飞行返回到二号基地降落，飞行机器人任意部位垂直投影进入基地内即可，否则不得分。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6974"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right"/>
              <w:textAlignment w:val="auto"/>
              <w:rPr>
                <w:rFonts w:hint="eastAsia" w:ascii="仿宋" w:hAnsi="仿宋" w:eastAsia="仿宋" w:cs="仿宋"/>
                <w:sz w:val="22"/>
                <w:szCs w:val="22"/>
              </w:rPr>
            </w:pPr>
            <w:r>
              <w:rPr>
                <w:rFonts w:hint="eastAsia" w:ascii="仿宋" w:hAnsi="仿宋" w:eastAsia="仿宋" w:cs="仿宋"/>
                <w:b/>
                <w:color w:val="000000"/>
                <w:sz w:val="22"/>
                <w:szCs w:val="22"/>
              </w:rPr>
              <w:t>活动用时得分：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6974"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right"/>
              <w:textAlignment w:val="auto"/>
              <w:rPr>
                <w:rFonts w:hint="eastAsia" w:ascii="仿宋" w:hAnsi="仿宋" w:eastAsia="仿宋" w:cs="仿宋"/>
                <w:b/>
                <w:color w:val="000000"/>
                <w:sz w:val="22"/>
                <w:szCs w:val="22"/>
              </w:rPr>
            </w:pPr>
            <w:r>
              <w:rPr>
                <w:rFonts w:hint="eastAsia" w:ascii="仿宋" w:hAnsi="仿宋" w:eastAsia="仿宋" w:cs="仿宋"/>
                <w:b/>
                <w:color w:val="000000"/>
                <w:sz w:val="22"/>
                <w:szCs w:val="22"/>
              </w:rPr>
              <w:t>使用定位标签数量（计扣除分）：</w:t>
            </w:r>
          </w:p>
        </w:tc>
        <w:tc>
          <w:tcPr>
            <w:tcW w:w="121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eastAsia" w:ascii="仿宋" w:hAnsi="仿宋" w:eastAsia="仿宋" w:cs="仿宋"/>
                <w:color w:val="000000"/>
                <w:sz w:val="22"/>
                <w:szCs w:val="22"/>
              </w:rPr>
            </w:pPr>
          </w:p>
        </w:tc>
        <w:tc>
          <w:tcPr>
            <w:tcW w:w="120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eastAsia" w:ascii="仿宋" w:hAnsi="仿宋" w:eastAsia="仿宋" w:cs="仿宋"/>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974"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ind w:firstLine="3465"/>
              <w:jc w:val="right"/>
              <w:textAlignment w:val="auto"/>
              <w:rPr>
                <w:rFonts w:hint="eastAsia" w:ascii="仿宋" w:hAnsi="仿宋" w:eastAsia="仿宋" w:cs="仿宋"/>
                <w:sz w:val="22"/>
                <w:szCs w:val="22"/>
              </w:rPr>
            </w:pPr>
            <w:r>
              <w:rPr>
                <w:rFonts w:hint="eastAsia" w:ascii="仿宋" w:hAnsi="仿宋" w:eastAsia="仿宋" w:cs="仿宋"/>
                <w:b/>
                <w:color w:val="000000"/>
                <w:sz w:val="22"/>
                <w:szCs w:val="22"/>
              </w:rPr>
              <w:t>最终成绩（取最高分一轮）：</w:t>
            </w:r>
          </w:p>
        </w:tc>
        <w:tc>
          <w:tcPr>
            <w:tcW w:w="2415"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eastAsia" w:ascii="仿宋" w:hAnsi="仿宋" w:eastAsia="仿宋" w:cs="仿宋"/>
                <w:sz w:val="22"/>
                <w:szCs w:val="22"/>
              </w:rPr>
            </w:pPr>
            <w:r>
              <w:rPr>
                <w:rFonts w:hint="eastAsia" w:ascii="仿宋" w:hAnsi="仿宋" w:eastAsia="仿宋" w:cs="仿宋"/>
                <w:color w:val="000000"/>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9389" w:type="dxa"/>
            <w:gridSpan w:val="5"/>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center"/>
              <w:textAlignment w:val="auto"/>
              <w:rPr>
                <w:rFonts w:hint="eastAsia" w:ascii="仿宋" w:hAnsi="仿宋" w:eastAsia="仿宋" w:cs="仿宋"/>
                <w:sz w:val="22"/>
                <w:szCs w:val="22"/>
              </w:rPr>
            </w:pPr>
            <w:r>
              <w:rPr>
                <w:rFonts w:hint="eastAsia" w:ascii="仿宋" w:hAnsi="仿宋" w:eastAsia="仿宋" w:cs="仿宋"/>
                <w:b/>
                <w:color w:val="000000"/>
                <w:spacing w:val="0"/>
                <w:sz w:val="22"/>
                <w:szCs w:val="22"/>
                <w:u w:val="none"/>
              </w:rPr>
              <w:t>裁判签名：</w:t>
            </w:r>
            <w:r>
              <w:rPr>
                <w:rFonts w:hint="eastAsia" w:ascii="仿宋" w:hAnsi="仿宋" w:eastAsia="仿宋" w:cs="仿宋"/>
                <w:b/>
                <w:color w:val="000000"/>
                <w:spacing w:val="0"/>
                <w:sz w:val="22"/>
                <w:szCs w:val="22"/>
                <w:u w:val="none"/>
                <w:lang w:val="en-US" w:eastAsia="zh-CN"/>
              </w:rPr>
              <w:t xml:space="preserve">                </w:t>
            </w:r>
            <w:r>
              <w:rPr>
                <w:rFonts w:hint="eastAsia" w:ascii="仿宋" w:hAnsi="仿宋" w:eastAsia="仿宋" w:cs="仿宋"/>
                <w:color w:val="000000"/>
                <w:spacing w:val="0"/>
                <w:sz w:val="22"/>
                <w:szCs w:val="22"/>
                <w:u w:val="none"/>
              </w:rPr>
              <w:t> </w:t>
            </w:r>
            <w:r>
              <w:rPr>
                <w:rFonts w:hint="eastAsia" w:ascii="仿宋" w:hAnsi="仿宋" w:eastAsia="仿宋" w:cs="仿宋"/>
                <w:b/>
                <w:color w:val="000000"/>
                <w:spacing w:val="0"/>
                <w:sz w:val="22"/>
                <w:szCs w:val="22"/>
                <w:u w:val="none"/>
              </w:rPr>
              <w:t>选手签名：</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center"/>
              <w:textAlignment w:val="auto"/>
              <w:rPr>
                <w:rFonts w:hint="eastAsia" w:ascii="仿宋" w:hAnsi="仿宋" w:eastAsia="仿宋" w:cs="仿宋"/>
                <w:sz w:val="22"/>
                <w:szCs w:val="22"/>
              </w:rPr>
            </w:pPr>
          </w:p>
        </w:tc>
      </w:tr>
    </w:tbl>
    <w:p>
      <w:pPr>
        <w:snapToGrid w:val="0"/>
        <w:spacing w:line="360" w:lineRule="auto"/>
        <w:jc w:val="left"/>
        <w:rPr>
          <w:rFonts w:ascii="仿宋_GB2312" w:hAnsi="仿宋_GB2312" w:eastAsia="仿宋_GB2312" w:cs="仿宋_GB2312"/>
          <w:sz w:val="28"/>
          <w:szCs w:val="28"/>
        </w:rPr>
      </w:pPr>
      <w:r>
        <w:rPr>
          <w:rFonts w:hint="eastAsia" w:ascii="仿宋_GB2312" w:hAnsi="仿宋_GB2312" w:eastAsia="仿宋_GB2312" w:cs="仿宋_GB2312"/>
          <w:b/>
          <w:color w:val="000000"/>
          <w:sz w:val="28"/>
          <w:szCs w:val="28"/>
        </w:rPr>
        <w:br w:type="page"/>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初中组陆空智能协同搬运规则记分表</w:t>
      </w:r>
    </w:p>
    <w:p>
      <w:pPr>
        <w:snapToGrid w:val="0"/>
        <w:spacing w:line="360" w:lineRule="auto"/>
        <w:jc w:val="center"/>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序号：       选手姓名：            学校：</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365"/>
        <w:gridCol w:w="4868"/>
        <w:gridCol w:w="1289"/>
        <w:gridCol w:w="1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9"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任务及分值</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得分标准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b/>
                <w:color w:val="000000"/>
                <w:sz w:val="24"/>
                <w:szCs w:val="24"/>
              </w:rPr>
              <w:t>第一轮分数</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b/>
                <w:color w:val="000000"/>
                <w:sz w:val="24"/>
                <w:szCs w:val="24"/>
              </w:rPr>
              <w:t>第二轮分数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24" w:type="dxa"/>
            <w:vMerge w:val="restart"/>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轮式机器人</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颜色识别</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旋转器落入观察区，视觉传感器进行识别，轮式机器人语音播报的颜色与旋转器正竖立面的颜色一致，否则不得分。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自主巡路</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20分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轮式机器人每压黄色界线1次扣2分，最高扣10分（单次压线时间超过5秒直接扣除10分）；轮式机器人须使用视觉传感器进行自主巡路，否则不得分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运送飞行机器人/10分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携带飞行机器人通过自主巡路运送到场地位置C前面道路上，等待飞行机器人起飞后继续完成后续任务；运送过程中飞行机器人任何部位不得与地面接触，否则不得分。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清理障碍物/10分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通过任意技术将障碍物清理并带回一号基地，轮式机器人将物品拾取后，在返回基地前物品不得接触地面，否则不得分。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物品运输</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20分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将B区域内与“颜色识别”任务中旋转器正竖立面相同颜色的物品运输到D区域内</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返回一号基地</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飞行机器人在至少完成两个满分任务后自主巡路返回一号基地，返回基地时轮式机器人至少2个驱动轮垂直投影进入基地内，否则不得分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restart"/>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飞行机器人</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自主成功起飞/10分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仿宋" w:hAnsi="仿宋" w:eastAsia="仿宋" w:cs="仿宋"/>
                <w:sz w:val="24"/>
                <w:szCs w:val="24"/>
              </w:rPr>
            </w:pPr>
            <w:r>
              <w:rPr>
                <w:rFonts w:hint="eastAsia" w:ascii="仿宋" w:hAnsi="仿宋" w:eastAsia="仿宋" w:cs="仿宋"/>
                <w:color w:val="000000"/>
                <w:sz w:val="24"/>
                <w:szCs w:val="24"/>
              </w:rPr>
              <w:t>飞行机器人在等待轮式机器人运送到达场地位置C前面道路，自主成功起飞，否则不得分。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物品运输</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20分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仿宋" w:hAnsi="仿宋" w:eastAsia="仿宋" w:cs="仿宋"/>
                <w:sz w:val="24"/>
                <w:szCs w:val="24"/>
              </w:rPr>
            </w:pPr>
            <w:r>
              <w:rPr>
                <w:rFonts w:hint="eastAsia" w:ascii="仿宋" w:hAnsi="仿宋" w:eastAsia="仿宋" w:cs="仿宋"/>
                <w:color w:val="000000"/>
                <w:sz w:val="24"/>
                <w:szCs w:val="24"/>
              </w:rPr>
              <w:t>将摆放在场地D区域内的物品通过任意技术运输到场地E区域摆放的空中平台上，物品拾取与摆放时的垂直投影须完成进入指定摆放区域内，否则不得分。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b/>
                <w:bCs/>
                <w:sz w:val="24"/>
                <w:szCs w:val="24"/>
              </w:rPr>
            </w:pPr>
            <w:r>
              <w:rPr>
                <w:rFonts w:hint="eastAsia" w:ascii="仿宋" w:hAnsi="仿宋" w:eastAsia="仿宋" w:cs="仿宋"/>
                <w:b/>
                <w:bCs/>
                <w:color w:val="000000"/>
                <w:sz w:val="24"/>
                <w:szCs w:val="24"/>
              </w:rPr>
              <w:t>山脊巡视</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仿宋" w:hAnsi="仿宋" w:eastAsia="仿宋" w:cs="仿宋"/>
                <w:sz w:val="24"/>
                <w:szCs w:val="24"/>
              </w:rPr>
            </w:pPr>
            <w:r>
              <w:rPr>
                <w:rFonts w:hint="eastAsia" w:ascii="仿宋" w:hAnsi="仿宋" w:eastAsia="仿宋" w:cs="仿宋"/>
                <w:color w:val="000000"/>
                <w:sz w:val="24"/>
                <w:szCs w:val="24"/>
              </w:rPr>
              <w:t>从场地位置D开始，按黑色引导线通过视觉巡线飞行到达位置场地F区域并降落停留至少3秒钟，巡线过程中不得明</w:t>
            </w:r>
            <w:r>
              <w:rPr>
                <w:rFonts w:hint="eastAsia" w:ascii="仿宋" w:hAnsi="仿宋" w:eastAsia="仿宋" w:cs="仿宋"/>
                <w:color w:val="000000"/>
                <w:sz w:val="24"/>
                <w:szCs w:val="24"/>
                <w:lang w:val="en-US" w:eastAsia="zh-CN"/>
              </w:rPr>
              <w:t>显</w:t>
            </w:r>
            <w:r>
              <w:rPr>
                <w:rFonts w:hint="eastAsia" w:ascii="仿宋" w:hAnsi="仿宋" w:eastAsia="仿宋" w:cs="仿宋"/>
                <w:color w:val="000000"/>
                <w:sz w:val="24"/>
                <w:szCs w:val="24"/>
              </w:rPr>
              <w:t>偏离黑色引导线，否则不得分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丛林绕飞</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对摆放在H区域内的刀旗进行360°绕飞，绕飞方向不限</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穿越涵洞</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仿宋" w:hAnsi="仿宋" w:eastAsia="仿宋" w:cs="仿宋"/>
                <w:sz w:val="24"/>
                <w:szCs w:val="24"/>
              </w:rPr>
            </w:pPr>
            <w:r>
              <w:rPr>
                <w:rFonts w:hint="eastAsia" w:ascii="仿宋" w:hAnsi="仿宋" w:eastAsia="仿宋" w:cs="仿宋"/>
                <w:color w:val="000000"/>
                <w:sz w:val="24"/>
                <w:szCs w:val="24"/>
              </w:rPr>
              <w:t>飞行机器人以任意速度穿越竖直摆放的涵洞，穿越方向不限。</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4"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36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基地降落</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6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至少完成两个满分任务后自主飞行返回到二号基地降落，飞行机器人任意部位垂直投影进入基地内即可，否则不得分。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057"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eastAsia" w:ascii="仿宋" w:hAnsi="仿宋" w:eastAsia="仿宋" w:cs="仿宋"/>
                <w:sz w:val="24"/>
                <w:szCs w:val="24"/>
              </w:rPr>
            </w:pPr>
            <w:r>
              <w:rPr>
                <w:rFonts w:hint="eastAsia" w:ascii="仿宋" w:hAnsi="仿宋" w:eastAsia="仿宋" w:cs="仿宋"/>
                <w:b/>
                <w:color w:val="000000"/>
                <w:sz w:val="24"/>
                <w:szCs w:val="24"/>
              </w:rPr>
              <w:t>活动用时得分：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057"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eastAsia" w:ascii="仿宋" w:hAnsi="仿宋" w:eastAsia="仿宋" w:cs="仿宋"/>
                <w:b/>
                <w:color w:val="000000"/>
                <w:sz w:val="24"/>
                <w:szCs w:val="24"/>
              </w:rPr>
            </w:pPr>
            <w:r>
              <w:rPr>
                <w:rFonts w:hint="eastAsia" w:ascii="仿宋" w:hAnsi="仿宋" w:eastAsia="仿宋" w:cs="仿宋"/>
                <w:b/>
                <w:color w:val="000000"/>
                <w:sz w:val="24"/>
                <w:szCs w:val="24"/>
              </w:rPr>
              <w:t>使用定位标签数量（计扣除分）：</w:t>
            </w:r>
          </w:p>
        </w:tc>
        <w:tc>
          <w:tcPr>
            <w:tcW w:w="128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color w:val="000000"/>
                <w:sz w:val="24"/>
                <w:szCs w:val="24"/>
              </w:rPr>
            </w:pPr>
          </w:p>
        </w:tc>
        <w:tc>
          <w:tcPr>
            <w:tcW w:w="133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057"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360" w:lineRule="auto"/>
              <w:ind w:firstLine="3465"/>
              <w:jc w:val="right"/>
              <w:textAlignment w:val="auto"/>
              <w:rPr>
                <w:rFonts w:hint="eastAsia" w:ascii="仿宋" w:hAnsi="仿宋" w:eastAsia="仿宋" w:cs="仿宋"/>
                <w:sz w:val="24"/>
                <w:szCs w:val="24"/>
              </w:rPr>
            </w:pPr>
            <w:r>
              <w:rPr>
                <w:rFonts w:hint="eastAsia" w:ascii="仿宋" w:hAnsi="仿宋" w:eastAsia="仿宋" w:cs="仿宋"/>
                <w:b/>
                <w:color w:val="000000"/>
                <w:sz w:val="24"/>
                <w:szCs w:val="24"/>
              </w:rPr>
              <w:t>最终成绩（取最高分一轮）：</w:t>
            </w:r>
          </w:p>
        </w:tc>
        <w:tc>
          <w:tcPr>
            <w:tcW w:w="2622"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9679" w:type="dxa"/>
            <w:gridSpan w:val="5"/>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pacing w:val="0"/>
                <w:sz w:val="24"/>
                <w:szCs w:val="24"/>
                <w:u w:val="none"/>
              </w:rPr>
              <w:t>裁判签名：</w:t>
            </w:r>
            <w:r>
              <w:rPr>
                <w:rFonts w:hint="eastAsia" w:ascii="仿宋" w:hAnsi="仿宋" w:eastAsia="仿宋" w:cs="仿宋"/>
                <w:b/>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选手签名：</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r>
    </w:tbl>
    <w:p>
      <w:pP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br w:type="page"/>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lang w:val="en-US" w:eastAsia="zh-CN"/>
        </w:rPr>
        <w:t>高</w:t>
      </w:r>
      <w:r>
        <w:rPr>
          <w:rFonts w:hint="eastAsia" w:ascii="黑体" w:hAnsi="黑体" w:eastAsia="黑体" w:cs="黑体"/>
          <w:color w:val="000000"/>
          <w:sz w:val="32"/>
          <w:szCs w:val="32"/>
        </w:rPr>
        <w:t>中</w:t>
      </w:r>
      <w:r>
        <w:rPr>
          <w:rFonts w:hint="eastAsia" w:ascii="黑体" w:hAnsi="黑体" w:eastAsia="黑体" w:cs="黑体"/>
          <w:color w:val="000000"/>
          <w:sz w:val="32"/>
          <w:szCs w:val="32"/>
          <w:lang w:eastAsia="zh-CN"/>
        </w:rPr>
        <w:t>（</w:t>
      </w:r>
      <w:r>
        <w:rPr>
          <w:rFonts w:hint="eastAsia" w:ascii="黑体" w:hAnsi="黑体" w:eastAsia="黑体" w:cs="黑体"/>
          <w:color w:val="000000"/>
          <w:sz w:val="32"/>
          <w:szCs w:val="32"/>
          <w:lang w:val="en-US" w:eastAsia="zh-CN"/>
        </w:rPr>
        <w:t>中职）</w:t>
      </w:r>
      <w:r>
        <w:rPr>
          <w:rFonts w:hint="eastAsia" w:ascii="黑体" w:hAnsi="黑体" w:eastAsia="黑体" w:cs="黑体"/>
          <w:color w:val="000000"/>
          <w:sz w:val="32"/>
          <w:szCs w:val="32"/>
        </w:rPr>
        <w:t>组陆空智能协同搬运规则记分表 </w:t>
      </w:r>
    </w:p>
    <w:p>
      <w:pPr>
        <w:snapToGrid w:val="0"/>
        <w:jc w:val="center"/>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序号：          选手姓名：             学校：</w:t>
      </w:r>
    </w:p>
    <w:tbl>
      <w:tblPr>
        <w:tblStyle w:val="9"/>
        <w:tblW w:w="9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005"/>
        <w:gridCol w:w="4890"/>
        <w:gridCol w:w="1446"/>
        <w:gridCol w:w="1367"/>
        <w:gridCol w:w="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1965"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任务及分值</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得分标准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b/>
                <w:color w:val="000000"/>
                <w:sz w:val="24"/>
                <w:szCs w:val="24"/>
              </w:rPr>
              <w:t>第一轮分数</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b/>
                <w:color w:val="000000"/>
                <w:sz w:val="24"/>
                <w:szCs w:val="24"/>
              </w:rPr>
              <w:t>第二轮分数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375" w:hRule="atLeast"/>
        </w:trPr>
        <w:tc>
          <w:tcPr>
            <w:tcW w:w="960" w:type="dxa"/>
            <w:vMerge w:val="restart"/>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轮式机器人</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颜色识别</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旋转器落入观察区，视觉传感器进行识别，轮式机器人语音播报的颜色与旋转器正竖立面的颜色一致，否则不得分。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480" w:hRule="atLeast"/>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自主巡路</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20分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轮式机器人每压黄色界线1次扣2分，最高扣10分（单次压线时间超过5秒直接扣除10分）；轮式机器人须使用视觉传感器进行自主巡路，否则不得分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清理障碍物10分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通过任意技术将障碍物清理并带回一号基地，轮式机器人将物品拾取后，在返回基地前物品不得接触地面，否则不得分。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物品运输</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20分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将B区域内与“颜色识别”任务中旋转器正竖立面相同颜色的物品运输到D区域内</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运送飞行机器人/10分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在场地D区域前，等待飞行机器人降落至车顶上，在轮式机器人进入一号基地前（飞行机器人任意部位垂直投影进入基地即可）飞行机器人任意部位不得与地面接触，否则不得分。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返回一号基地</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在至少完成两个满分任务后自主巡路返回一号基地，返回基地时轮式机器人至少2个驱动轮垂直投影进入基地内，否则不得分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960" w:type="dxa"/>
            <w:vMerge w:val="restart"/>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飞行机器人</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丛林绕飞</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对摆放在H区域内的刀旗进行360°绕飞，绕飞方向不限</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穿越涵洞</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仿宋" w:hAnsi="仿宋" w:eastAsia="仿宋" w:cs="仿宋"/>
                <w:sz w:val="24"/>
                <w:szCs w:val="24"/>
              </w:rPr>
            </w:pPr>
            <w:r>
              <w:rPr>
                <w:rFonts w:hint="eastAsia" w:ascii="仿宋" w:hAnsi="仿宋" w:eastAsia="仿宋" w:cs="仿宋"/>
                <w:color w:val="000000"/>
                <w:sz w:val="24"/>
                <w:szCs w:val="24"/>
              </w:rPr>
              <w:t>飞行机器人以任意速度穿越竖直摆放的涵洞，穿越方向不限。</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山脊巡视</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仿宋" w:hAnsi="仿宋" w:eastAsia="仿宋" w:cs="仿宋"/>
                <w:sz w:val="24"/>
                <w:szCs w:val="24"/>
              </w:rPr>
            </w:pPr>
            <w:r>
              <w:rPr>
                <w:rFonts w:hint="eastAsia" w:ascii="仿宋" w:hAnsi="仿宋" w:eastAsia="仿宋" w:cs="仿宋"/>
                <w:color w:val="000000"/>
                <w:sz w:val="24"/>
                <w:szCs w:val="24"/>
              </w:rPr>
              <w:t>飞行机器人飞行至场地F区域，然后按黑色引导线通过视觉巡线飞行到达场地D区域，巡线过程中不得明细偏离黑色引导线，否则不得分。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物品运输</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20分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仿宋" w:hAnsi="仿宋" w:eastAsia="仿宋" w:cs="仿宋"/>
                <w:sz w:val="24"/>
                <w:szCs w:val="24"/>
              </w:rPr>
            </w:pPr>
            <w:r>
              <w:rPr>
                <w:rFonts w:hint="eastAsia" w:ascii="仿宋" w:hAnsi="仿宋" w:eastAsia="仿宋" w:cs="仿宋"/>
                <w:color w:val="000000"/>
                <w:sz w:val="24"/>
                <w:szCs w:val="24"/>
              </w:rPr>
              <w:t>将摆放在场地D区域内的物品通过任意技术运输到场地E区域摆放的空中平台上，物品拾取与摆放时的垂直投影须完成进入指定摆放区域内，否则不得分。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991" w:hRule="atLeast"/>
        </w:trPr>
        <w:tc>
          <w:tcPr>
            <w:tcW w:w="960" w:type="dxa"/>
            <w:vMerge w:val="continue"/>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c>
          <w:tcPr>
            <w:tcW w:w="100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车顶降落</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z w:val="24"/>
                <w:szCs w:val="24"/>
              </w:rPr>
              <w:t>10分</w:t>
            </w:r>
          </w:p>
        </w:tc>
        <w:tc>
          <w:tcPr>
            <w:tcW w:w="489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飞行机器人在至少完成两个满分任务前提下，降落到停在场地D区域前面道路的等候轮式机器人上，飞行机器人任意部位不得接触地面，否则不得分。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6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260" w:lineRule="exact"/>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6855"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eastAsia" w:ascii="仿宋" w:hAnsi="仿宋" w:eastAsia="仿宋" w:cs="仿宋"/>
                <w:sz w:val="24"/>
                <w:szCs w:val="24"/>
              </w:rPr>
            </w:pPr>
            <w:r>
              <w:rPr>
                <w:rFonts w:hint="eastAsia" w:ascii="仿宋" w:hAnsi="仿宋" w:eastAsia="仿宋" w:cs="仿宋"/>
                <w:b/>
                <w:color w:val="000000"/>
                <w:sz w:val="24"/>
                <w:szCs w:val="24"/>
              </w:rPr>
              <w:t>活动用时得分：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c>
          <w:tcPr>
            <w:tcW w:w="1378"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6855"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eastAsia" w:ascii="仿宋" w:hAnsi="仿宋" w:eastAsia="仿宋" w:cs="仿宋"/>
                <w:b/>
                <w:color w:val="000000"/>
                <w:sz w:val="24"/>
                <w:szCs w:val="24"/>
              </w:rPr>
            </w:pPr>
            <w:r>
              <w:rPr>
                <w:rFonts w:hint="eastAsia" w:ascii="仿宋" w:hAnsi="仿宋" w:eastAsia="仿宋" w:cs="仿宋"/>
                <w:b/>
                <w:color w:val="000000"/>
                <w:sz w:val="24"/>
                <w:szCs w:val="24"/>
              </w:rPr>
              <w:t>使用定位标签数量（计扣除分）：</w:t>
            </w:r>
          </w:p>
        </w:tc>
        <w:tc>
          <w:tcPr>
            <w:tcW w:w="144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color w:val="000000"/>
                <w:sz w:val="24"/>
                <w:szCs w:val="24"/>
              </w:rPr>
            </w:pPr>
          </w:p>
        </w:tc>
        <w:tc>
          <w:tcPr>
            <w:tcW w:w="1378" w:type="dxa"/>
            <w:gridSpan w:val="2"/>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55"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360" w:lineRule="auto"/>
              <w:ind w:firstLine="3465"/>
              <w:jc w:val="right"/>
              <w:textAlignment w:val="auto"/>
              <w:rPr>
                <w:rFonts w:hint="eastAsia" w:ascii="仿宋" w:hAnsi="仿宋" w:eastAsia="仿宋" w:cs="仿宋"/>
                <w:sz w:val="24"/>
                <w:szCs w:val="24"/>
              </w:rPr>
            </w:pPr>
            <w:r>
              <w:rPr>
                <w:rFonts w:hint="eastAsia" w:ascii="仿宋" w:hAnsi="仿宋" w:eastAsia="仿宋" w:cs="仿宋"/>
                <w:b/>
                <w:color w:val="000000"/>
                <w:sz w:val="24"/>
                <w:szCs w:val="24"/>
              </w:rPr>
              <w:t>最终成绩（取最高分一轮）：</w:t>
            </w:r>
          </w:p>
        </w:tc>
        <w:tc>
          <w:tcPr>
            <w:tcW w:w="2824" w:type="dxa"/>
            <w:gridSpan w:val="3"/>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tcPr>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9679" w:type="dxa"/>
            <w:gridSpan w:val="6"/>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r>
              <w:rPr>
                <w:rFonts w:hint="eastAsia" w:ascii="仿宋" w:hAnsi="仿宋" w:eastAsia="仿宋" w:cs="仿宋"/>
                <w:b/>
                <w:color w:val="000000"/>
                <w:spacing w:val="0"/>
                <w:sz w:val="24"/>
                <w:szCs w:val="24"/>
                <w:u w:val="none"/>
              </w:rPr>
              <w:t>裁判签名：</w:t>
            </w:r>
            <w:r>
              <w:rPr>
                <w:rFonts w:hint="eastAsia" w:ascii="仿宋" w:hAnsi="仿宋" w:eastAsia="仿宋" w:cs="仿宋"/>
                <w:b/>
                <w:color w:val="000000"/>
                <w:spacing w:val="0"/>
                <w:sz w:val="24"/>
                <w:szCs w:val="24"/>
                <w:u w:val="none"/>
                <w:lang w:val="en-US" w:eastAsia="zh-CN"/>
              </w:rPr>
              <w:t xml:space="preserve">                </w:t>
            </w:r>
            <w:r>
              <w:rPr>
                <w:rFonts w:hint="eastAsia" w:ascii="仿宋" w:hAnsi="仿宋" w:eastAsia="仿宋" w:cs="仿宋"/>
                <w:color w:val="000000"/>
                <w:spacing w:val="0"/>
                <w:sz w:val="24"/>
                <w:szCs w:val="24"/>
                <w:u w:val="none"/>
              </w:rPr>
              <w:t> </w:t>
            </w:r>
            <w:r>
              <w:rPr>
                <w:rFonts w:hint="eastAsia" w:ascii="仿宋" w:hAnsi="仿宋" w:eastAsia="仿宋" w:cs="仿宋"/>
                <w:b/>
                <w:color w:val="000000"/>
                <w:spacing w:val="0"/>
                <w:sz w:val="24"/>
                <w:szCs w:val="24"/>
                <w:u w:val="none"/>
              </w:rPr>
              <w:t>选手签名：</w:t>
            </w:r>
          </w:p>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仿宋" w:hAnsi="仿宋" w:eastAsia="仿宋" w:cs="仿宋"/>
                <w:sz w:val="24"/>
                <w:szCs w:val="24"/>
              </w:rPr>
            </w:pPr>
          </w:p>
        </w:tc>
      </w:tr>
    </w:tbl>
    <w:p>
      <w:pPr>
        <w:snapToGrid w:val="0"/>
        <w:spacing w:line="360" w:lineRule="auto"/>
        <w:jc w:val="left"/>
        <w:rPr>
          <w:rFonts w:ascii="仿宋_GB2312" w:hAnsi="仿宋_GB2312" w:eastAsia="仿宋_GB2312" w:cs="仿宋_GB2312"/>
          <w:b/>
          <w:bCs/>
          <w:sz w:val="28"/>
          <w:szCs w:val="28"/>
        </w:rPr>
      </w:pPr>
    </w:p>
    <w:sectPr>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59BF00"/>
    <w:multiLevelType w:val="singleLevel"/>
    <w:tmpl w:val="BB59BF0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s>
  <w:rsids>
    <w:rsidRoot w:val="00172A27"/>
    <w:rsid w:val="0002378F"/>
    <w:rsid w:val="00033539"/>
    <w:rsid w:val="00033C0D"/>
    <w:rsid w:val="000347C6"/>
    <w:rsid w:val="00035026"/>
    <w:rsid w:val="00036728"/>
    <w:rsid w:val="00043AE1"/>
    <w:rsid w:val="00046693"/>
    <w:rsid w:val="00052A6A"/>
    <w:rsid w:val="00060747"/>
    <w:rsid w:val="0006497C"/>
    <w:rsid w:val="0006697B"/>
    <w:rsid w:val="00070DF0"/>
    <w:rsid w:val="0007231F"/>
    <w:rsid w:val="00076890"/>
    <w:rsid w:val="0008436A"/>
    <w:rsid w:val="00097313"/>
    <w:rsid w:val="000A620A"/>
    <w:rsid w:val="000B46AB"/>
    <w:rsid w:val="000D4299"/>
    <w:rsid w:val="000D69E9"/>
    <w:rsid w:val="000E2020"/>
    <w:rsid w:val="000E6468"/>
    <w:rsid w:val="000F49CF"/>
    <w:rsid w:val="000F5027"/>
    <w:rsid w:val="000F6C75"/>
    <w:rsid w:val="001018D1"/>
    <w:rsid w:val="001026B6"/>
    <w:rsid w:val="00115D2B"/>
    <w:rsid w:val="001324E8"/>
    <w:rsid w:val="001400FA"/>
    <w:rsid w:val="00143085"/>
    <w:rsid w:val="001459B6"/>
    <w:rsid w:val="00145AA1"/>
    <w:rsid w:val="001501F8"/>
    <w:rsid w:val="0015353E"/>
    <w:rsid w:val="00162C98"/>
    <w:rsid w:val="00172A27"/>
    <w:rsid w:val="001750F0"/>
    <w:rsid w:val="001839BB"/>
    <w:rsid w:val="00184F89"/>
    <w:rsid w:val="001A1126"/>
    <w:rsid w:val="001A4343"/>
    <w:rsid w:val="001D5B91"/>
    <w:rsid w:val="001E1043"/>
    <w:rsid w:val="001E3202"/>
    <w:rsid w:val="001E6B6F"/>
    <w:rsid w:val="001F10E9"/>
    <w:rsid w:val="00220859"/>
    <w:rsid w:val="002237A3"/>
    <w:rsid w:val="00224245"/>
    <w:rsid w:val="002256DE"/>
    <w:rsid w:val="00270968"/>
    <w:rsid w:val="002825F6"/>
    <w:rsid w:val="002A6CAB"/>
    <w:rsid w:val="002C15D5"/>
    <w:rsid w:val="002C392C"/>
    <w:rsid w:val="002D0549"/>
    <w:rsid w:val="002D0777"/>
    <w:rsid w:val="002D12D5"/>
    <w:rsid w:val="002D48BF"/>
    <w:rsid w:val="002D4CBD"/>
    <w:rsid w:val="002F1969"/>
    <w:rsid w:val="00311B46"/>
    <w:rsid w:val="00320E59"/>
    <w:rsid w:val="00327246"/>
    <w:rsid w:val="003411CD"/>
    <w:rsid w:val="00345E24"/>
    <w:rsid w:val="00346D85"/>
    <w:rsid w:val="003528BB"/>
    <w:rsid w:val="00371779"/>
    <w:rsid w:val="003913CD"/>
    <w:rsid w:val="003A229A"/>
    <w:rsid w:val="003A2ADB"/>
    <w:rsid w:val="003B2E14"/>
    <w:rsid w:val="003B4CEF"/>
    <w:rsid w:val="003C2C79"/>
    <w:rsid w:val="003C7C60"/>
    <w:rsid w:val="003E1FF2"/>
    <w:rsid w:val="003E2BCF"/>
    <w:rsid w:val="003E6D73"/>
    <w:rsid w:val="0040211C"/>
    <w:rsid w:val="0040351C"/>
    <w:rsid w:val="004136D0"/>
    <w:rsid w:val="00421CDD"/>
    <w:rsid w:val="00421DA9"/>
    <w:rsid w:val="00425C15"/>
    <w:rsid w:val="0043251C"/>
    <w:rsid w:val="0044567B"/>
    <w:rsid w:val="00460394"/>
    <w:rsid w:val="00460FF8"/>
    <w:rsid w:val="00471315"/>
    <w:rsid w:val="00481808"/>
    <w:rsid w:val="004844B6"/>
    <w:rsid w:val="00491E5E"/>
    <w:rsid w:val="004A3671"/>
    <w:rsid w:val="004C1F65"/>
    <w:rsid w:val="004D0D4E"/>
    <w:rsid w:val="004D5E0E"/>
    <w:rsid w:val="004D6D5F"/>
    <w:rsid w:val="004E0FF6"/>
    <w:rsid w:val="004E143A"/>
    <w:rsid w:val="004E5863"/>
    <w:rsid w:val="0051443A"/>
    <w:rsid w:val="00517EDE"/>
    <w:rsid w:val="00523C89"/>
    <w:rsid w:val="00525DF3"/>
    <w:rsid w:val="00533821"/>
    <w:rsid w:val="00546D84"/>
    <w:rsid w:val="00550E5B"/>
    <w:rsid w:val="00557543"/>
    <w:rsid w:val="00566375"/>
    <w:rsid w:val="00571D62"/>
    <w:rsid w:val="00572524"/>
    <w:rsid w:val="005739C4"/>
    <w:rsid w:val="00594F63"/>
    <w:rsid w:val="005A6A4C"/>
    <w:rsid w:val="005B1DF6"/>
    <w:rsid w:val="005B2E9A"/>
    <w:rsid w:val="005B46C7"/>
    <w:rsid w:val="005B5CFA"/>
    <w:rsid w:val="005C7473"/>
    <w:rsid w:val="005C782A"/>
    <w:rsid w:val="005D1776"/>
    <w:rsid w:val="005D2960"/>
    <w:rsid w:val="005D3E40"/>
    <w:rsid w:val="005D6112"/>
    <w:rsid w:val="005E57CE"/>
    <w:rsid w:val="00617E69"/>
    <w:rsid w:val="00627029"/>
    <w:rsid w:val="00627435"/>
    <w:rsid w:val="00630AD5"/>
    <w:rsid w:val="0063180A"/>
    <w:rsid w:val="006328D7"/>
    <w:rsid w:val="006364FA"/>
    <w:rsid w:val="00661222"/>
    <w:rsid w:val="00674AD9"/>
    <w:rsid w:val="00692AD9"/>
    <w:rsid w:val="00692EAD"/>
    <w:rsid w:val="0069365D"/>
    <w:rsid w:val="006A1167"/>
    <w:rsid w:val="006A3C31"/>
    <w:rsid w:val="006B1901"/>
    <w:rsid w:val="006C2F26"/>
    <w:rsid w:val="006C5036"/>
    <w:rsid w:val="006C68F2"/>
    <w:rsid w:val="006D1BEB"/>
    <w:rsid w:val="006D396A"/>
    <w:rsid w:val="006D5D8B"/>
    <w:rsid w:val="006E7585"/>
    <w:rsid w:val="006F04A7"/>
    <w:rsid w:val="006F2E75"/>
    <w:rsid w:val="006F57C7"/>
    <w:rsid w:val="007042A8"/>
    <w:rsid w:val="00712E06"/>
    <w:rsid w:val="00712E58"/>
    <w:rsid w:val="00722602"/>
    <w:rsid w:val="007306CC"/>
    <w:rsid w:val="00731BDF"/>
    <w:rsid w:val="00732C1D"/>
    <w:rsid w:val="00743387"/>
    <w:rsid w:val="00744355"/>
    <w:rsid w:val="0075423E"/>
    <w:rsid w:val="0075441A"/>
    <w:rsid w:val="0075497A"/>
    <w:rsid w:val="00757819"/>
    <w:rsid w:val="00770E45"/>
    <w:rsid w:val="0077480C"/>
    <w:rsid w:val="0078140D"/>
    <w:rsid w:val="0078392E"/>
    <w:rsid w:val="007923BE"/>
    <w:rsid w:val="0079565C"/>
    <w:rsid w:val="00796497"/>
    <w:rsid w:val="007A46CF"/>
    <w:rsid w:val="007A6628"/>
    <w:rsid w:val="007C047A"/>
    <w:rsid w:val="007C265C"/>
    <w:rsid w:val="007C4096"/>
    <w:rsid w:val="007D1FAF"/>
    <w:rsid w:val="007D3DF9"/>
    <w:rsid w:val="007F3A0C"/>
    <w:rsid w:val="0082673E"/>
    <w:rsid w:val="00830B80"/>
    <w:rsid w:val="00833172"/>
    <w:rsid w:val="0083577E"/>
    <w:rsid w:val="00846047"/>
    <w:rsid w:val="008621ED"/>
    <w:rsid w:val="00864D92"/>
    <w:rsid w:val="00867DEA"/>
    <w:rsid w:val="008863F6"/>
    <w:rsid w:val="008A0893"/>
    <w:rsid w:val="008A5F55"/>
    <w:rsid w:val="008A6043"/>
    <w:rsid w:val="008A6A70"/>
    <w:rsid w:val="008A7BF7"/>
    <w:rsid w:val="008B5386"/>
    <w:rsid w:val="008C001D"/>
    <w:rsid w:val="008C1163"/>
    <w:rsid w:val="008E3949"/>
    <w:rsid w:val="008F1061"/>
    <w:rsid w:val="00915042"/>
    <w:rsid w:val="009211BB"/>
    <w:rsid w:val="00921925"/>
    <w:rsid w:val="009540F9"/>
    <w:rsid w:val="009548E2"/>
    <w:rsid w:val="00956358"/>
    <w:rsid w:val="00962513"/>
    <w:rsid w:val="0098089B"/>
    <w:rsid w:val="00982C8B"/>
    <w:rsid w:val="009A0AA1"/>
    <w:rsid w:val="009A2C89"/>
    <w:rsid w:val="009A33DB"/>
    <w:rsid w:val="009A3581"/>
    <w:rsid w:val="009A74AA"/>
    <w:rsid w:val="009B5F33"/>
    <w:rsid w:val="009D693F"/>
    <w:rsid w:val="009E6ED0"/>
    <w:rsid w:val="009E7F0F"/>
    <w:rsid w:val="00A03928"/>
    <w:rsid w:val="00A0519A"/>
    <w:rsid w:val="00A05912"/>
    <w:rsid w:val="00A23254"/>
    <w:rsid w:val="00A31B38"/>
    <w:rsid w:val="00A33AAB"/>
    <w:rsid w:val="00A43B1D"/>
    <w:rsid w:val="00A47209"/>
    <w:rsid w:val="00A554F4"/>
    <w:rsid w:val="00A576B0"/>
    <w:rsid w:val="00A674FC"/>
    <w:rsid w:val="00A844D3"/>
    <w:rsid w:val="00A869A7"/>
    <w:rsid w:val="00AA29AC"/>
    <w:rsid w:val="00AA71F0"/>
    <w:rsid w:val="00AB16EB"/>
    <w:rsid w:val="00AB67E2"/>
    <w:rsid w:val="00AE2D33"/>
    <w:rsid w:val="00AE38F2"/>
    <w:rsid w:val="00AE5A4C"/>
    <w:rsid w:val="00AE5D98"/>
    <w:rsid w:val="00AE751D"/>
    <w:rsid w:val="00AE77CC"/>
    <w:rsid w:val="00B008AF"/>
    <w:rsid w:val="00B07127"/>
    <w:rsid w:val="00B218A7"/>
    <w:rsid w:val="00B40AA9"/>
    <w:rsid w:val="00B54465"/>
    <w:rsid w:val="00B54746"/>
    <w:rsid w:val="00B5537D"/>
    <w:rsid w:val="00B63209"/>
    <w:rsid w:val="00B738DF"/>
    <w:rsid w:val="00B771E4"/>
    <w:rsid w:val="00B8142F"/>
    <w:rsid w:val="00B81EF8"/>
    <w:rsid w:val="00B84DE2"/>
    <w:rsid w:val="00BA03EE"/>
    <w:rsid w:val="00BA3288"/>
    <w:rsid w:val="00BA55F1"/>
    <w:rsid w:val="00BE3DB7"/>
    <w:rsid w:val="00BE6C8C"/>
    <w:rsid w:val="00BE6E5B"/>
    <w:rsid w:val="00BF2EC0"/>
    <w:rsid w:val="00BF73EA"/>
    <w:rsid w:val="00C05CDD"/>
    <w:rsid w:val="00C14B7C"/>
    <w:rsid w:val="00C50ACF"/>
    <w:rsid w:val="00C56DE7"/>
    <w:rsid w:val="00C57D83"/>
    <w:rsid w:val="00C65960"/>
    <w:rsid w:val="00C67447"/>
    <w:rsid w:val="00C67F32"/>
    <w:rsid w:val="00C705EC"/>
    <w:rsid w:val="00C71792"/>
    <w:rsid w:val="00C7553D"/>
    <w:rsid w:val="00C768E8"/>
    <w:rsid w:val="00C8280B"/>
    <w:rsid w:val="00C918E5"/>
    <w:rsid w:val="00CA1D09"/>
    <w:rsid w:val="00CA416D"/>
    <w:rsid w:val="00CB4338"/>
    <w:rsid w:val="00CC5C7C"/>
    <w:rsid w:val="00CD0189"/>
    <w:rsid w:val="00CD1F3E"/>
    <w:rsid w:val="00CD4523"/>
    <w:rsid w:val="00CD4B42"/>
    <w:rsid w:val="00CD606B"/>
    <w:rsid w:val="00CD7819"/>
    <w:rsid w:val="00CE763A"/>
    <w:rsid w:val="00CF07FB"/>
    <w:rsid w:val="00CF33C5"/>
    <w:rsid w:val="00CF417A"/>
    <w:rsid w:val="00CF7217"/>
    <w:rsid w:val="00D03DD5"/>
    <w:rsid w:val="00D10050"/>
    <w:rsid w:val="00D110E1"/>
    <w:rsid w:val="00D224D8"/>
    <w:rsid w:val="00D239DE"/>
    <w:rsid w:val="00D31672"/>
    <w:rsid w:val="00D4014F"/>
    <w:rsid w:val="00D52DCC"/>
    <w:rsid w:val="00D55484"/>
    <w:rsid w:val="00D5747A"/>
    <w:rsid w:val="00D60EF8"/>
    <w:rsid w:val="00D65169"/>
    <w:rsid w:val="00D92777"/>
    <w:rsid w:val="00DC2C26"/>
    <w:rsid w:val="00DF30CC"/>
    <w:rsid w:val="00E02B72"/>
    <w:rsid w:val="00E14255"/>
    <w:rsid w:val="00E14794"/>
    <w:rsid w:val="00E25C02"/>
    <w:rsid w:val="00E25C10"/>
    <w:rsid w:val="00E31AF4"/>
    <w:rsid w:val="00E56786"/>
    <w:rsid w:val="00E622EE"/>
    <w:rsid w:val="00E7078E"/>
    <w:rsid w:val="00E7405F"/>
    <w:rsid w:val="00E80AE1"/>
    <w:rsid w:val="00E82D4E"/>
    <w:rsid w:val="00E87F79"/>
    <w:rsid w:val="00E90E30"/>
    <w:rsid w:val="00E93B57"/>
    <w:rsid w:val="00EA6286"/>
    <w:rsid w:val="00EC350A"/>
    <w:rsid w:val="00ED4DE4"/>
    <w:rsid w:val="00EF2F10"/>
    <w:rsid w:val="00EF403C"/>
    <w:rsid w:val="00F1281C"/>
    <w:rsid w:val="00F17495"/>
    <w:rsid w:val="00F23615"/>
    <w:rsid w:val="00F3313F"/>
    <w:rsid w:val="00F336D3"/>
    <w:rsid w:val="00F431DF"/>
    <w:rsid w:val="00F43DDD"/>
    <w:rsid w:val="00F47673"/>
    <w:rsid w:val="00F60E3F"/>
    <w:rsid w:val="00F6716D"/>
    <w:rsid w:val="00F67967"/>
    <w:rsid w:val="00F67DC7"/>
    <w:rsid w:val="00F76ED9"/>
    <w:rsid w:val="00F77608"/>
    <w:rsid w:val="00F858A4"/>
    <w:rsid w:val="00F859E9"/>
    <w:rsid w:val="00FA4972"/>
    <w:rsid w:val="00FA7134"/>
    <w:rsid w:val="00FA7B7B"/>
    <w:rsid w:val="00FB13B6"/>
    <w:rsid w:val="00FB6094"/>
    <w:rsid w:val="00FC05E0"/>
    <w:rsid w:val="00FC1297"/>
    <w:rsid w:val="00FC1BB5"/>
    <w:rsid w:val="00FC21BC"/>
    <w:rsid w:val="00FC2443"/>
    <w:rsid w:val="00FD0C52"/>
    <w:rsid w:val="00FD667D"/>
    <w:rsid w:val="00FE4649"/>
    <w:rsid w:val="00FF6A8E"/>
    <w:rsid w:val="00FF724A"/>
    <w:rsid w:val="00FF7753"/>
    <w:rsid w:val="01432A09"/>
    <w:rsid w:val="01677433"/>
    <w:rsid w:val="038616C4"/>
    <w:rsid w:val="03D8423E"/>
    <w:rsid w:val="05446760"/>
    <w:rsid w:val="0677332A"/>
    <w:rsid w:val="068A34CD"/>
    <w:rsid w:val="06DC0CD4"/>
    <w:rsid w:val="07860541"/>
    <w:rsid w:val="08410683"/>
    <w:rsid w:val="09166BC7"/>
    <w:rsid w:val="094735E5"/>
    <w:rsid w:val="0CF00CFD"/>
    <w:rsid w:val="0E093275"/>
    <w:rsid w:val="0E64257C"/>
    <w:rsid w:val="11633F63"/>
    <w:rsid w:val="120A3360"/>
    <w:rsid w:val="130F3593"/>
    <w:rsid w:val="13AB40B6"/>
    <w:rsid w:val="14137FFC"/>
    <w:rsid w:val="14FEB7D1"/>
    <w:rsid w:val="15915022"/>
    <w:rsid w:val="15D514AA"/>
    <w:rsid w:val="162E309F"/>
    <w:rsid w:val="173B3BFD"/>
    <w:rsid w:val="183549E7"/>
    <w:rsid w:val="189216B6"/>
    <w:rsid w:val="18E71DAA"/>
    <w:rsid w:val="19372C4D"/>
    <w:rsid w:val="19667A08"/>
    <w:rsid w:val="19E21F09"/>
    <w:rsid w:val="1A914925"/>
    <w:rsid w:val="1D682681"/>
    <w:rsid w:val="1E6171F5"/>
    <w:rsid w:val="22434F1E"/>
    <w:rsid w:val="228F0F58"/>
    <w:rsid w:val="23713BE3"/>
    <w:rsid w:val="241560D8"/>
    <w:rsid w:val="24B44889"/>
    <w:rsid w:val="24E62295"/>
    <w:rsid w:val="26CF644C"/>
    <w:rsid w:val="270D7949"/>
    <w:rsid w:val="27393FD7"/>
    <w:rsid w:val="27BBC776"/>
    <w:rsid w:val="285A140E"/>
    <w:rsid w:val="29E33623"/>
    <w:rsid w:val="29F50A3D"/>
    <w:rsid w:val="2A465F56"/>
    <w:rsid w:val="2DD7356F"/>
    <w:rsid w:val="2EC42AC5"/>
    <w:rsid w:val="2F5FEB60"/>
    <w:rsid w:val="31AA1C5E"/>
    <w:rsid w:val="322720FA"/>
    <w:rsid w:val="32844722"/>
    <w:rsid w:val="347C34A5"/>
    <w:rsid w:val="348E2E5C"/>
    <w:rsid w:val="35550B8E"/>
    <w:rsid w:val="359E66F8"/>
    <w:rsid w:val="363C3E02"/>
    <w:rsid w:val="366D2CE5"/>
    <w:rsid w:val="36AE6FBA"/>
    <w:rsid w:val="375748CE"/>
    <w:rsid w:val="37595FD5"/>
    <w:rsid w:val="37773DC8"/>
    <w:rsid w:val="38670D5C"/>
    <w:rsid w:val="3BCF4085"/>
    <w:rsid w:val="3C404BA4"/>
    <w:rsid w:val="3F1730F0"/>
    <w:rsid w:val="3F7FBF3C"/>
    <w:rsid w:val="3FFFA6B2"/>
    <w:rsid w:val="41BB0510"/>
    <w:rsid w:val="426C3C56"/>
    <w:rsid w:val="428E2B2E"/>
    <w:rsid w:val="428F50B5"/>
    <w:rsid w:val="42BE3E35"/>
    <w:rsid w:val="42F55939"/>
    <w:rsid w:val="43630C33"/>
    <w:rsid w:val="449F4F53"/>
    <w:rsid w:val="44CD3FCF"/>
    <w:rsid w:val="4743745B"/>
    <w:rsid w:val="48062F12"/>
    <w:rsid w:val="49D52D28"/>
    <w:rsid w:val="4D902094"/>
    <w:rsid w:val="4DEF35F3"/>
    <w:rsid w:val="4E146DB3"/>
    <w:rsid w:val="4EEB64C1"/>
    <w:rsid w:val="4EF51FB0"/>
    <w:rsid w:val="4F1ED801"/>
    <w:rsid w:val="4FA37F19"/>
    <w:rsid w:val="4FF04731"/>
    <w:rsid w:val="501819EC"/>
    <w:rsid w:val="50AF2857"/>
    <w:rsid w:val="50D93D98"/>
    <w:rsid w:val="525C0884"/>
    <w:rsid w:val="52EC074F"/>
    <w:rsid w:val="531D5224"/>
    <w:rsid w:val="532F3C94"/>
    <w:rsid w:val="53324352"/>
    <w:rsid w:val="54082D7A"/>
    <w:rsid w:val="55126A37"/>
    <w:rsid w:val="55F5A5F3"/>
    <w:rsid w:val="563034C0"/>
    <w:rsid w:val="5664730E"/>
    <w:rsid w:val="56880044"/>
    <w:rsid w:val="579700F0"/>
    <w:rsid w:val="588030FF"/>
    <w:rsid w:val="58D958C2"/>
    <w:rsid w:val="5BFD6FDC"/>
    <w:rsid w:val="5D3A0669"/>
    <w:rsid w:val="5DDE15B5"/>
    <w:rsid w:val="5DEB2445"/>
    <w:rsid w:val="5DF36615"/>
    <w:rsid w:val="5E6D7F2B"/>
    <w:rsid w:val="5E9A39FA"/>
    <w:rsid w:val="5F043398"/>
    <w:rsid w:val="5F7E3E1E"/>
    <w:rsid w:val="5FC03844"/>
    <w:rsid w:val="60065A83"/>
    <w:rsid w:val="60367E89"/>
    <w:rsid w:val="60460A43"/>
    <w:rsid w:val="606038D1"/>
    <w:rsid w:val="61165E5E"/>
    <w:rsid w:val="6235322F"/>
    <w:rsid w:val="628A21C6"/>
    <w:rsid w:val="62916680"/>
    <w:rsid w:val="62B66BF2"/>
    <w:rsid w:val="647E253C"/>
    <w:rsid w:val="65DF44D5"/>
    <w:rsid w:val="667B959C"/>
    <w:rsid w:val="67EF41F6"/>
    <w:rsid w:val="68492080"/>
    <w:rsid w:val="68AA0EB0"/>
    <w:rsid w:val="6A5C725C"/>
    <w:rsid w:val="6A780FCD"/>
    <w:rsid w:val="6AE03A62"/>
    <w:rsid w:val="6B99520C"/>
    <w:rsid w:val="6C3B192B"/>
    <w:rsid w:val="6DDC32B1"/>
    <w:rsid w:val="6E524486"/>
    <w:rsid w:val="6F6F5F2F"/>
    <w:rsid w:val="6FDEF3F5"/>
    <w:rsid w:val="6FF38566"/>
    <w:rsid w:val="6FFB5F28"/>
    <w:rsid w:val="72DE6B74"/>
    <w:rsid w:val="73511CE8"/>
    <w:rsid w:val="73543782"/>
    <w:rsid w:val="749116EC"/>
    <w:rsid w:val="755E4345"/>
    <w:rsid w:val="758E3977"/>
    <w:rsid w:val="7626766B"/>
    <w:rsid w:val="765C588D"/>
    <w:rsid w:val="76A2180E"/>
    <w:rsid w:val="771FEC30"/>
    <w:rsid w:val="7727C4C4"/>
    <w:rsid w:val="77AA370D"/>
    <w:rsid w:val="78237225"/>
    <w:rsid w:val="78AD9301"/>
    <w:rsid w:val="7918068C"/>
    <w:rsid w:val="79E73270"/>
    <w:rsid w:val="7A820216"/>
    <w:rsid w:val="7ABBB697"/>
    <w:rsid w:val="7B4D7781"/>
    <w:rsid w:val="7BC92F63"/>
    <w:rsid w:val="7C1F2D8C"/>
    <w:rsid w:val="7C8151E8"/>
    <w:rsid w:val="7C9A2EB3"/>
    <w:rsid w:val="7CC4494C"/>
    <w:rsid w:val="7CDF1DF7"/>
    <w:rsid w:val="7D5F5829"/>
    <w:rsid w:val="7DBD1A91"/>
    <w:rsid w:val="7DC2643C"/>
    <w:rsid w:val="7EBDAB32"/>
    <w:rsid w:val="7ECFEB55"/>
    <w:rsid w:val="7F1A6F50"/>
    <w:rsid w:val="7F7F2DF6"/>
    <w:rsid w:val="9CCCD646"/>
    <w:rsid w:val="9D53A898"/>
    <w:rsid w:val="9FDBFD77"/>
    <w:rsid w:val="A1DBA634"/>
    <w:rsid w:val="A63C9E31"/>
    <w:rsid w:val="ABBF0983"/>
    <w:rsid w:val="ACFEA787"/>
    <w:rsid w:val="B3FE80A8"/>
    <w:rsid w:val="B9BFD91B"/>
    <w:rsid w:val="B9FF3F63"/>
    <w:rsid w:val="BACF1102"/>
    <w:rsid w:val="BAEF63F9"/>
    <w:rsid w:val="BD17BBDD"/>
    <w:rsid w:val="BE1F8177"/>
    <w:rsid w:val="BFBB214E"/>
    <w:rsid w:val="BFC7DBC2"/>
    <w:rsid w:val="CEFD1D0F"/>
    <w:rsid w:val="D7AD9816"/>
    <w:rsid w:val="D7EE8314"/>
    <w:rsid w:val="DB7F4560"/>
    <w:rsid w:val="DBDF069E"/>
    <w:rsid w:val="DF6BACC5"/>
    <w:rsid w:val="DFA766AF"/>
    <w:rsid w:val="DFD618CB"/>
    <w:rsid w:val="DFFDC7BF"/>
    <w:rsid w:val="E7D14F04"/>
    <w:rsid w:val="EAF6B32B"/>
    <w:rsid w:val="EBBFD089"/>
    <w:rsid w:val="EBEC41A4"/>
    <w:rsid w:val="EBFF9EE1"/>
    <w:rsid w:val="ED7B6FA5"/>
    <w:rsid w:val="EEE37C40"/>
    <w:rsid w:val="EEF3DACF"/>
    <w:rsid w:val="EFB6F160"/>
    <w:rsid w:val="F1FDB952"/>
    <w:rsid w:val="F57F45D9"/>
    <w:rsid w:val="F5DC2B3A"/>
    <w:rsid w:val="F5FD4AC9"/>
    <w:rsid w:val="F939C054"/>
    <w:rsid w:val="FB1F14F8"/>
    <w:rsid w:val="FB6C7C77"/>
    <w:rsid w:val="FB6CAF68"/>
    <w:rsid w:val="FD9BCA9F"/>
    <w:rsid w:val="FED518CF"/>
    <w:rsid w:val="FEDEEDDA"/>
    <w:rsid w:val="FEF73AEE"/>
    <w:rsid w:val="FFC7087A"/>
    <w:rsid w:val="FFDF78D0"/>
    <w:rsid w:val="FFFD4D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ody Text"/>
    <w:qFormat/>
    <w:uiPriority w:val="1"/>
    <w:pPr>
      <w:ind w:left="117"/>
    </w:pPr>
    <w:rPr>
      <w:rFonts w:ascii="宋体" w:hAnsi="宋体" w:eastAsia="宋体" w:cstheme="minorBidi"/>
      <w:kern w:val="2"/>
      <w:sz w:val="23"/>
      <w:szCs w:val="23"/>
      <w:lang w:val="en-US" w:eastAsia="zh-CN" w:bidi="ar-SA"/>
    </w:rPr>
  </w:style>
  <w:style w:type="paragraph" w:styleId="4">
    <w:name w:val="footer"/>
    <w:basedOn w:val="1"/>
    <w:unhideWhenUsed/>
    <w:qFormat/>
    <w:uiPriority w:val="0"/>
    <w:pPr>
      <w:tabs>
        <w:tab w:val="center" w:pos="4153"/>
        <w:tab w:val="right" w:pos="8306"/>
      </w:tabs>
      <w:snapToGrid w:val="0"/>
    </w:pPr>
    <w:rPr>
      <w:sz w:val="18"/>
      <w:szCs w:val="18"/>
    </w:rPr>
  </w:style>
  <w:style w:type="paragraph" w:styleId="5">
    <w:name w:val="header"/>
    <w:basedOn w:val="1"/>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nhideWhenUsed/>
    <w:qFormat/>
    <w:uiPriority w:val="99"/>
    <w:rPr>
      <w:sz w:val="24"/>
    </w:rPr>
  </w:style>
  <w:style w:type="paragraph" w:styleId="7">
    <w:name w:val="annotation subject"/>
    <w:basedOn w:val="2"/>
    <w:next w:val="2"/>
    <w:link w:val="13"/>
    <w:unhideWhenUsed/>
    <w:qFormat/>
    <w:uiPriority w:val="99"/>
    <w:rPr>
      <w:b/>
      <w:bCs/>
    </w:rPr>
  </w:style>
  <w:style w:type="table" w:styleId="9">
    <w:name w:val="Table Grid"/>
    <w:basedOn w:val="8"/>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customStyle="1" w:styleId="12">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3">
    <w:name w:val="批注主题 字符"/>
    <w:link w:val="7"/>
    <w:semiHidden/>
    <w:qFormat/>
    <w:uiPriority w:val="99"/>
    <w:rPr>
      <w:b/>
      <w:bCs/>
      <w:kern w:val="2"/>
      <w:sz w:val="21"/>
    </w:rPr>
  </w:style>
  <w:style w:type="paragraph" w:customStyle="1" w:styleId="14">
    <w:name w:val="Table head"/>
    <w:qFormat/>
    <w:uiPriority w:val="99"/>
    <w:pPr>
      <w:keepLines/>
      <w:widowControl w:val="0"/>
      <w:spacing w:before="80" w:after="80" w:line="240" w:lineRule="atLeast"/>
      <w:textAlignment w:val="center"/>
    </w:pPr>
    <w:rPr>
      <w:rFonts w:ascii="Arial" w:hAnsi="Arial" w:eastAsia="宋体" w:cs="Arial"/>
      <w:bCs/>
      <w:color w:val="000000"/>
      <w:kern w:val="2"/>
      <w:sz w:val="21"/>
      <w:szCs w:val="24"/>
      <w:lang w:val="en-US" w:eastAsia="zh-CN" w:bidi="ar-SA"/>
    </w:rPr>
  </w:style>
  <w:style w:type="paragraph" w:customStyle="1" w:styleId="15">
    <w:name w:val="列表段落2"/>
    <w:basedOn w:val="1"/>
    <w:qFormat/>
    <w:uiPriority w:val="99"/>
    <w:pPr>
      <w:ind w:firstLine="420" w:firstLineChars="200"/>
    </w:pPr>
  </w:style>
  <w:style w:type="character" w:customStyle="1" w:styleId="16">
    <w:name w:val="批注文字 字符"/>
    <w:link w:val="2"/>
    <w:semiHidden/>
    <w:qFormat/>
    <w:uiPriority w:val="99"/>
    <w:rPr>
      <w:kern w:val="2"/>
      <w:sz w:val="21"/>
    </w:rPr>
  </w:style>
  <w:style w:type="paragraph" w:customStyle="1" w:styleId="17">
    <w:name w:val="Table text1"/>
    <w:qFormat/>
    <w:uiPriority w:val="99"/>
    <w:pPr>
      <w:keepLines/>
      <w:widowControl w:val="0"/>
      <w:spacing w:before="60" w:after="60" w:line="400" w:lineRule="exact"/>
      <w:jc w:val="both"/>
      <w:textAlignment w:val="center"/>
    </w:pPr>
    <w:rPr>
      <w:rFonts w:ascii="Arial" w:hAnsi="Arial" w:eastAsia="宋体" w:cs="Arial"/>
      <w:color w:val="000000"/>
      <w:kern w:val="2"/>
      <w:sz w:val="21"/>
      <w:szCs w:val="24"/>
      <w:lang w:val="en-US" w:eastAsia="zh-CN" w:bidi="ar-SA"/>
    </w:rPr>
  </w:style>
  <w:style w:type="paragraph" w:customStyle="1" w:styleId="18">
    <w:name w:val="列表段落1"/>
    <w:basedOn w:val="1"/>
    <w:qFormat/>
    <w:uiPriority w:val="99"/>
    <w:pPr>
      <w:ind w:firstLine="420" w:firstLineChars="200"/>
    </w:pPr>
  </w:style>
  <w:style w:type="paragraph" w:customStyle="1" w:styleId="19">
    <w:name w:val="Figure"/>
    <w:next w:val="1"/>
    <w:qFormat/>
    <w:uiPriority w:val="99"/>
    <w:pPr>
      <w:keepNext/>
      <w:spacing w:before="100" w:after="100"/>
      <w:jc w:val="center"/>
      <w:textAlignment w:val="center"/>
    </w:pPr>
    <w:rPr>
      <w:rFonts w:ascii="Arial" w:hAnsi="Arial" w:eastAsia="宋体" w:cs="Arial"/>
      <w:color w:val="000000"/>
      <w:kern w:val="2"/>
      <w:sz w:val="21"/>
      <w:szCs w:val="24"/>
      <w:lang w:val="en-US" w:eastAsia="zh-CN" w:bidi="ar-SA"/>
    </w:rPr>
  </w:style>
  <w:style w:type="paragraph" w:customStyle="1" w:styleId="20">
    <w:name w:val="列出段落1"/>
    <w:basedOn w:val="1"/>
    <w:qFormat/>
    <w:uiPriority w:val="99"/>
    <w:pPr>
      <w:ind w:firstLine="420" w:firstLineChars="200"/>
    </w:pPr>
  </w:style>
  <w:style w:type="paragraph" w:customStyle="1" w:styleId="21">
    <w:name w:val="列表段落3"/>
    <w:basedOn w:val="1"/>
    <w:qFormat/>
    <w:uiPriority w:val="99"/>
    <w:pPr>
      <w:ind w:firstLine="420" w:firstLineChars="200"/>
    </w:pPr>
  </w:style>
  <w:style w:type="paragraph" w:customStyle="1" w:styleId="22">
    <w:name w:val="列出段落2"/>
    <w:basedOn w:val="1"/>
    <w:qFormat/>
    <w:uiPriority w:val="99"/>
    <w:pPr>
      <w:ind w:firstLine="420" w:firstLineChars="200"/>
    </w:pPr>
    <w:rPr>
      <w:rFonts w:cs="宋体"/>
    </w:rPr>
  </w:style>
  <w:style w:type="character" w:customStyle="1" w:styleId="23">
    <w:name w:val="Subtle Emphasis"/>
    <w:basedOn w:val="10"/>
    <w:qFormat/>
    <w:uiPriority w:val="19"/>
    <w:rPr>
      <w:i/>
      <w:iCs/>
      <w:color w:val="404040" w:themeColor="text1" w:themeTint="BF"/>
      <w14:textFill>
        <w14:solidFill>
          <w14:schemeClr w14:val="tx1">
            <w14:lumMod w14:val="75000"/>
            <w14:lumOff w14:val="25000"/>
          </w14:schemeClr>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8903</Words>
  <Characters>9182</Characters>
  <Lines>72</Lines>
  <Paragraphs>20</Paragraphs>
  <TotalTime>0</TotalTime>
  <ScaleCrop>false</ScaleCrop>
  <LinksUpToDate>false</LinksUpToDate>
  <CharactersWithSpaces>9487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2022-11-10T09:24:00Z</dcterms:created>
  <dc:creator>gzekw</dc:creator>
  <cp:lastModifiedBy>WPS_1666597544</cp:lastModifiedBy>
  <dcterms:modified xsi:type="dcterms:W3CDTF">2023-02-11T04:18:02Z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9AC4D584F041486093C64B0B11D6BAC5</vt:lpwstr>
  </property>
</Properties>
</file>